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版本号：ZCSP-渭南市-2025-0055820250703001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渭南市临渭区地表水监测项目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ZCSP-渭南市-2025-00558</w:t>
      </w:r>
      <w:r>
        <w:br/>
      </w:r>
      <w:r>
        <w:br/>
      </w:r>
      <w:r>
        <w:br/>
      </w:r>
    </w:p>
    <w:p>
      <w:pPr>
        <w:pStyle w:val="null3"/>
        <w:jc w:val="center"/>
        <w:outlineLvl w:val="2"/>
      </w:pPr>
      <w:r>
        <w:rPr>
          <w:rFonts w:ascii="仿宋_GB2312" w:hAnsi="仿宋_GB2312" w:cs="仿宋_GB2312" w:eastAsia="仿宋_GB2312"/>
          <w:sz w:val="28"/>
          <w:b/>
        </w:rPr>
        <w:t>渭南市生态环境局临渭分局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渭南市生态环境局临渭分局</w:t>
      </w:r>
      <w:r>
        <w:rPr>
          <w:rFonts w:ascii="仿宋_GB2312" w:hAnsi="仿宋_GB2312" w:cs="仿宋_GB2312" w:eastAsia="仿宋_GB2312"/>
        </w:rPr>
        <w:t>委托，拟对</w:t>
      </w:r>
      <w:r>
        <w:rPr>
          <w:rFonts w:ascii="仿宋_GB2312" w:hAnsi="仿宋_GB2312" w:cs="仿宋_GB2312" w:eastAsia="仿宋_GB2312"/>
        </w:rPr>
        <w:t>渭南市临渭区地表水监测项目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ZCSP-渭南市-2025-00558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渭南市临渭区地表水监测项目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渭河渭富桥断面、高新北区排碱渠入渭口断面、渭河树园断面、沋河张家庄断面、沋河入渭口断面、渭南市排水有限责任公司总排口、东排碱渠白庙断面、东排碱渠吝店出境断面、东排碱渠故市出境断面、东一支沟新果村断面、龙阳支沟潼关寨村断面、东排碱渠入渭口仁李站断面开展水质监测，每日监测一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采购包1（渭南市临渭区地表水监测项目）：属于专门面向中小企业采购。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1、企业资质：供应商须具有CMA检验检测机构资质认定证书，且证书附表涵盖本项目检测内容；</w:t>
      </w:r>
    </w:p>
    <w:p>
      <w:pPr>
        <w:pStyle w:val="null3"/>
      </w:pPr>
      <w:r>
        <w:rPr>
          <w:rFonts w:ascii="仿宋_GB2312" w:hAnsi="仿宋_GB2312" w:cs="仿宋_GB2312" w:eastAsia="仿宋_GB2312"/>
        </w:rPr>
        <w:t>2、法定代表人身份证明书/法定代表人授权书：法定代表人参与磋商时需提供法定代表人身份证明书；被授权人参与磋商时需提供法定代表人授权书；</w:t>
      </w:r>
    </w:p>
    <w:p>
      <w:pPr>
        <w:pStyle w:val="null3"/>
      </w:pPr>
      <w:r>
        <w:rPr>
          <w:rFonts w:ascii="仿宋_GB2312" w:hAnsi="仿宋_GB2312" w:cs="仿宋_GB2312" w:eastAsia="仿宋_GB2312"/>
        </w:rPr>
        <w:t>3、磋商保证金交纳凭证：保证金已按磋商文件要求交纳；</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渭南市生态环境局临渭分局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临渭区老城街农园路4号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0913-3035533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渭南市生态环境局临渭分局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渭南市生态环境局临渭分局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渭南市生态环境局临渭分局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检测报告及配套服务达到国家及行业合格标准。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渭河渭富桥断面、高新北区排碱渠入渭口断面、渭河树园断面、沋河张家庄断面、沋河入渭口断面、渭南市排水有限责任公司总排口、东排碱渠白庙断面、东排碱渠吝店出境断面、东排碱渠故市出境断面、东一支沟新果村断面、龙阳支沟潼关寨村断面、东排碱渠入渭口仁李站断面开展水质监测，每日监测一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渭南市临渭区地表水监测服务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标的名称：渭南市临渭区地表水监测服务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（1）服务内容：每天对12个断面开展检测，出具正规合法的含CMA章检测报告2份（1正1副）；</w:t>
            </w:r>
          </w:p>
          <w:p>
            <w:pPr>
              <w:pStyle w:val="null3"/>
            </w:pPr>
            <w:r>
              <w:rPr>
                <w:rFonts w:ascii="仿宋_GB2312" w:hAnsi="仿宋_GB2312" w:cs="仿宋_GB2312" w:eastAsia="仿宋_GB2312"/>
              </w:rPr>
              <w:t>（2）检测参数：pH、溶解氧、总磷、氨氮、化学需氧量、高锰酸盐指数等；</w:t>
            </w:r>
          </w:p>
          <w:p>
            <w:pPr>
              <w:pStyle w:val="null3"/>
            </w:pPr>
            <w:r>
              <w:rPr>
                <w:rFonts w:ascii="仿宋_GB2312" w:hAnsi="仿宋_GB2312" w:cs="仿宋_GB2312" w:eastAsia="仿宋_GB2312"/>
              </w:rPr>
              <w:t>（3）严格按照检测规范工作，达到国家与行业规范规定要求，及时出具检验报告；</w:t>
            </w:r>
          </w:p>
          <w:p>
            <w:pPr>
              <w:pStyle w:val="null3"/>
            </w:pPr>
            <w:r>
              <w:rPr>
                <w:rFonts w:ascii="仿宋_GB2312" w:hAnsi="仿宋_GB2312" w:cs="仿宋_GB2312" w:eastAsia="仿宋_GB2312"/>
              </w:rPr>
              <w:t>（4）在检测过程按照操作规范，及时进行或确认相应的变更；</w:t>
            </w:r>
          </w:p>
          <w:p>
            <w:pPr>
              <w:pStyle w:val="null3"/>
            </w:pPr>
            <w:r>
              <w:rPr>
                <w:rFonts w:ascii="仿宋_GB2312" w:hAnsi="仿宋_GB2312" w:cs="仿宋_GB2312" w:eastAsia="仿宋_GB2312"/>
              </w:rPr>
              <w:t>（5）配备检测车辆；至少配备2台便携式pH、水温检测设备；设备须经计量部门检定且在检定有效期内；</w:t>
            </w:r>
          </w:p>
          <w:p>
            <w:pPr>
              <w:pStyle w:val="null3"/>
            </w:pPr>
            <w:r>
              <w:rPr>
                <w:rFonts w:ascii="仿宋_GB2312" w:hAnsi="仿宋_GB2312" w:cs="仿宋_GB2312" w:eastAsia="仿宋_GB2312"/>
              </w:rPr>
              <w:t>（6）委派的检测人员需持证上岗；</w:t>
            </w:r>
          </w:p>
          <w:p>
            <w:pPr>
              <w:pStyle w:val="null3"/>
            </w:pPr>
            <w:r>
              <w:rPr>
                <w:rFonts w:ascii="仿宋_GB2312" w:hAnsi="仿宋_GB2312" w:cs="仿宋_GB2312" w:eastAsia="仿宋_GB2312"/>
              </w:rPr>
              <w:t>（7）检测机构服务人员，对其检测行为及检测结果承担法律责任。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检测报告及配套服务达到国家及行业合格标准。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合同签订后支付总费用的60%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供应商完成全部项目内容且验收合格后，采购人付清剩余费用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3.双方在执行合同中所发生的一切争议，应通过协商解决。如协商不成，可向采购人所在地法院起诉。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营业执照等证明资料</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供应商须具有CMA检验检测机构资质认定证书，且证书附表涵盖本项目检测内容；</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保证金已按磋商文件要求交纳；</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特定资格要求 响应文件封面 政府采购供应商拒绝政府采购领域商业贿赂承诺书 残疾人福利性单位声明函 服务方案 政府采购二十二条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评审得分相同的，按照最后报价由低到高的顺序推荐。评审得分且最后报价相同的，按照技术指标优劣顺序推荐。评审得分且最后报价且技术指标得分均相同的，由磋商小组不记名投票推荐。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（1）项目需求理解； （2）项目整体管理方案； （3）服务进度计划； （4）服务进度保障措施。 评审标准： （1）针对性：符合本项目实际情况，专业性强、内容科学合理； （2）完整性：内容完整详细，条理清晰； （3）可实施性：安排及措施可实施性强。 赋分标准（16分）：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（1）检测服务方案； （2）服务团队管理方案； （3）服务团队职责分配计划。 评审标准： （1）针对性：符合本项目实际情况，专业性强、内容科学合理； （2）完整性：内容完整详细，条理清晰； （3）可实施性：安排及措施可实施性强。 赋分标准（12分）：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评审内容： （1）服务质量控制体系； （2）质量保障措施。 评审标准： （1）针对性：符合本项目实际情况，专业性强、内容科学合理； （2）完整性：内容完整详细，条理清晰； （3）可实施性：安排及措施可实施性强。 赋分标准（8分）：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评审内容： （1）资料管理措施； （2）工作流程安排及实施细则。 评审标准： （1）针对性：符合本项目实际情况，专业性强、内容科学合理； （2）完整性：内容完整详细，条理清晰； （3）可实施性：安排及措施可实施性强。 赋分标准（8分）：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w:t>
            </w:r>
          </w:p>
        </w:tc>
        <w:tc>
          <w:tcPr>
            <w:tcW w:type="dxa" w:w="2492"/>
          </w:tcPr>
          <w:p>
            <w:pPr>
              <w:pStyle w:val="null3"/>
            </w:pPr>
            <w:r>
              <w:rPr>
                <w:rFonts w:ascii="仿宋_GB2312" w:hAnsi="仿宋_GB2312" w:cs="仿宋_GB2312" w:eastAsia="仿宋_GB2312"/>
              </w:rPr>
              <w:t>评审内容： （1）应急人员安排计划； （2）应急设施设备安排计划； （3）对紧急或突发情况的应急保障措施。 评审标准： （1）针对性：符合本项目实际情况，专业性强、内容科学合理； （2）完整性：内容完整详细，条理清晰； （3）可实施性：安排及措施可实施性强。 赋分标准（12分）： ①每一项评审内容完全满足评审标准得4分； ②每一项评审内容若存在方案不明确、不合理、不完整、针对性不强等方面，扣2分；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针对本项目服务内容提出的合理化建议。 评审标准： （1）针对性：能够紧扣项目实际情况，专业性强、内容科学合理； （2）可实施性：切合本项目实际情况，步骤明确、可操作性强。 赋分标准（4分）： 针对本项目提出合理化建议，每提出一项有利于本项目实施的合理化建议得1分，本项最高得4分。未提供得0分。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经过有效性和符合性审核合格的供应商：商务要求每优于采购文件要求一项得1分，最高得3分。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供应商近三年（2022年7月至今）具有类似项目业绩，每个计1分，最多计5分。(业绩时间以合同签订日期为准，供应商须提供合同扫描件)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（1）检测人员提供证书及其他证明材料，每人得1分，最多得4分。（未提供得0分） （2）配备其他人员（检测人员除外），每配备一名得0.5分，最多得2分。（须提供证明材料，未提供得0分）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（1）供应商配置车辆及检测设备，每提供一项设施设备证明材料得1分，最高得3分。（未提供得0分） （2）配备应急（备用）车辆、设备，每配备一项得1分，最高得3分。（须提供证明材料，未提供得0分）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详见附件：7.合同文本.docx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