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版本号：ZCSP-渭南市-2025-0061520250722001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分体式午休课桌椅更新项目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ZCSP-渭南市-2025-00615</w:t>
      </w:r>
      <w:r>
        <w:br/>
      </w:r>
      <w:r>
        <w:br/>
      </w:r>
      <w:r>
        <w:br/>
      </w:r>
    </w:p>
    <w:p>
      <w:pPr>
        <w:pStyle w:val="null3"/>
        <w:jc w:val="center"/>
        <w:outlineLvl w:val="2"/>
      </w:pPr>
      <w:r>
        <w:rPr>
          <w:rFonts w:ascii="仿宋_GB2312" w:hAnsi="仿宋_GB2312" w:cs="仿宋_GB2312" w:eastAsia="仿宋_GB2312"/>
          <w:sz w:val="28"/>
          <w:b/>
        </w:rPr>
        <w:t>渭南初级中学</w:t>
      </w:r>
    </w:p>
    <w:p>
      <w:pPr>
        <w:pStyle w:val="null3"/>
        <w:jc w:val="center"/>
        <w:outlineLvl w:val="2"/>
      </w:pPr>
      <w:r>
        <w:rPr>
          <w:rFonts w:ascii="仿宋_GB2312" w:hAnsi="仿宋_GB2312" w:cs="仿宋_GB2312" w:eastAsia="仿宋_GB2312"/>
          <w:sz w:val="28"/>
          <w:b/>
        </w:rPr>
        <w:t>渭南市政府采购中心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渭南市政府采购中心</w:t>
      </w:r>
      <w:r>
        <w:rPr>
          <w:rFonts w:ascii="仿宋_GB2312" w:hAnsi="仿宋_GB2312" w:cs="仿宋_GB2312" w:eastAsia="仿宋_GB2312"/>
        </w:rPr>
        <w:t>（以下简称“代理机构”）受</w:t>
      </w:r>
      <w:r>
        <w:rPr>
          <w:rFonts w:ascii="仿宋_GB2312" w:hAnsi="仿宋_GB2312" w:cs="仿宋_GB2312" w:eastAsia="仿宋_GB2312"/>
        </w:rPr>
        <w:t>渭南初级中学</w:t>
      </w:r>
      <w:r>
        <w:rPr>
          <w:rFonts w:ascii="仿宋_GB2312" w:hAnsi="仿宋_GB2312" w:cs="仿宋_GB2312" w:eastAsia="仿宋_GB2312"/>
        </w:rPr>
        <w:t>委托，拟对</w:t>
      </w:r>
      <w:r>
        <w:rPr>
          <w:rFonts w:ascii="仿宋_GB2312" w:hAnsi="仿宋_GB2312" w:cs="仿宋_GB2312" w:eastAsia="仿宋_GB2312"/>
        </w:rPr>
        <w:t>分体式午休课桌椅更新项目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ZCSP-渭南市-2025-00615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分体式午休课桌椅更新项目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满足教育教学需要，保障学生健康成长、为学生提供必要的午休条件。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采购包1（分体式午休课桌椅更新）：属于专门面向中小企业采购。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须提供合法注册的法人或其他组织的营业执照等证明文件（事业单位法人证书\民办非企业单位登记证书\非企业专业服务机构执业许可证等），自然人须提供的身份证明文件；供应商需在项目电子化交易系统中按要求上传，并进行电子签章。</w:t>
      </w:r>
    </w:p>
    <w:p>
      <w:pPr>
        <w:pStyle w:val="null3"/>
      </w:pPr>
      <w:r>
        <w:rPr>
          <w:rFonts w:ascii="仿宋_GB2312" w:hAnsi="仿宋_GB2312" w:cs="仿宋_GB2312" w:eastAsia="仿宋_GB2312"/>
        </w:rPr>
        <w:t>2、供应商应授权合法的人员参加投标全过程：法定代表人参加的，须出具法定代表人身份证明，并与营业执照上信息一致；法定代表人授权代表参加的，须出具法定代表人授权书及授权代表身份证；供应商需在项目电子化交易系统中按要求上传法定代表人身份证明或法定代表人授权书及授权代表身份证证明文件，并进行电子签章。</w:t>
      </w:r>
    </w:p>
    <w:p>
      <w:pPr>
        <w:pStyle w:val="null3"/>
      </w:pPr>
      <w:r>
        <w:rPr>
          <w:rFonts w:ascii="仿宋_GB2312" w:hAnsi="仿宋_GB2312" w:cs="仿宋_GB2312" w:eastAsia="仿宋_GB2312"/>
        </w:rPr>
        <w:t>3、缴纳税收证明： 提供开标前一年内任意一个月依法缴纳税收的相关凭据（时间以税款所属日期为准、增值税、企业所得税至少提供一种），凭据应有税务机关或代收机关的公章或业务专用章；依法免税或无须缴纳税收的供应商，应提供相应证明文件；供应商需在项目电子化交易系统中按要求上传，并进行电子签章。</w:t>
      </w:r>
    </w:p>
    <w:p>
      <w:pPr>
        <w:pStyle w:val="null3"/>
      </w:pPr>
      <w:r>
        <w:rPr>
          <w:rFonts w:ascii="仿宋_GB2312" w:hAnsi="仿宋_GB2312" w:cs="仿宋_GB2312" w:eastAsia="仿宋_GB2312"/>
        </w:rPr>
        <w:t>4、社会保障资金缴纳证明：提供开标前一年内任意一个月的已缴纳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p>
      <w:pPr>
        <w:pStyle w:val="null3"/>
      </w:pPr>
      <w:r>
        <w:rPr>
          <w:rFonts w:ascii="仿宋_GB2312" w:hAnsi="仿宋_GB2312" w:cs="仿宋_GB2312" w:eastAsia="仿宋_GB2312"/>
        </w:rPr>
        <w:t>5、财务审计报告或资信证明：提供具有财务审计资质单位出具的2024年度完整财务报告或开标前六个月内其基本账户银行出具的资信证明；供应商需在项目电子化交易系统中按要求上传，并进行电子签章。</w:t>
      </w:r>
    </w:p>
    <w:p>
      <w:pPr>
        <w:pStyle w:val="null3"/>
      </w:pPr>
      <w:r>
        <w:rPr>
          <w:rFonts w:ascii="仿宋_GB2312" w:hAnsi="仿宋_GB2312" w:cs="仿宋_GB2312" w:eastAsia="仿宋_GB2312"/>
        </w:rPr>
        <w:t>6、信用记录书面声明 ：供应商需在项目电子化交易系统中按要求上传《供应商信用记录书面声明函》，并进行电子签章。</w:t>
      </w:r>
    </w:p>
    <w:p>
      <w:pPr>
        <w:pStyle w:val="null3"/>
      </w:pPr>
      <w:r>
        <w:rPr>
          <w:rFonts w:ascii="仿宋_GB2312" w:hAnsi="仿宋_GB2312" w:cs="仿宋_GB2312" w:eastAsia="仿宋_GB2312"/>
        </w:rPr>
        <w:t>7、无重大违法记录书面声明：供应商需在项目电子化交易系统中按要求上传《供应商无重大违法记录书面声明函》，并进行电子签章。</w:t>
      </w:r>
    </w:p>
    <w:p>
      <w:pPr>
        <w:pStyle w:val="null3"/>
      </w:pPr>
      <w:r>
        <w:rPr>
          <w:rFonts w:ascii="仿宋_GB2312" w:hAnsi="仿宋_GB2312" w:cs="仿宋_GB2312" w:eastAsia="仿宋_GB2312"/>
        </w:rPr>
        <w:t>8、非联合体投标声明 ：本项目不接受联合体投标，供应商需在项目电子化交易系统中按要求上传《非联合体投标声明》，并进行电子签章。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渭南初级中学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陕西省渭南市渭清路西体育馆北路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610501201007JB</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18892183669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渭南市政府采购中心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陕西省渭南市临渭区朝阳大街中段中银大厦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杨老师 吝老师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0913-2100082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渭南初级中学</w:t>
      </w:r>
      <w:r>
        <w:rPr>
          <w:rFonts w:ascii="仿宋_GB2312" w:hAnsi="仿宋_GB2312" w:cs="仿宋_GB2312" w:eastAsia="仿宋_GB2312"/>
        </w:rPr>
        <w:t>和</w:t>
      </w:r>
      <w:r>
        <w:rPr>
          <w:rFonts w:ascii="仿宋_GB2312" w:hAnsi="仿宋_GB2312" w:cs="仿宋_GB2312" w:eastAsia="仿宋_GB2312"/>
        </w:rPr>
        <w:t>渭南市政府采购中心</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渭南初级中学</w:t>
      </w:r>
      <w:r>
        <w:rPr>
          <w:rFonts w:ascii="仿宋_GB2312" w:hAnsi="仿宋_GB2312" w:cs="仿宋_GB2312" w:eastAsia="仿宋_GB2312"/>
        </w:rPr>
        <w:t>负责解释。除上述招标文件内容，其他内容由</w:t>
      </w:r>
      <w:r>
        <w:rPr>
          <w:rFonts w:ascii="仿宋_GB2312" w:hAnsi="仿宋_GB2312" w:cs="仿宋_GB2312" w:eastAsia="仿宋_GB2312"/>
        </w:rPr>
        <w:t>渭南市政府采购中心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渭南初级中学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渭南市政府采购中心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1、所投产品的规格、数量符合采购文件供应商投标承诺及采购合同约定的要求。 2、所有产品均已运输至指定地点，并安装调试完毕。 3、采购文件供应商投标承诺及采购合同约定的附件、工具、资料等齐全；提供产品使用说明书、合格证。 4、验收、交付标准和方法： 初验：货物到达交货地点后，由使用单位根据合同对货物的名称、品牌、规格、型号、产地、数量进行检查。 终验：所有货物安装完毕，正常使用5个日历日后，由采购人、使用单位进行终验（最终验收），发现问题须在5个工作日内整改完毕，合格后签发《终验合格单》。 验收不合格的成交供应商，必须在接到通知后7个日历日内确保货物通过验收。如接到通知后7个日历日内验收仍不合格，采购人可提出索赔或取消其供货合同。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渭南初级中学</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渭南市政府采购中心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渭南市政府采购中心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联系人：李老师</w:t>
      </w:r>
    </w:p>
    <w:p>
      <w:pPr>
        <w:pStyle w:val="null3"/>
      </w:pPr>
      <w:r>
        <w:rPr>
          <w:rFonts w:ascii="仿宋_GB2312" w:hAnsi="仿宋_GB2312" w:cs="仿宋_GB2312" w:eastAsia="仿宋_GB2312"/>
        </w:rPr>
        <w:t>联系电话：18892183960</w:t>
      </w:r>
    </w:p>
    <w:p>
      <w:pPr>
        <w:pStyle w:val="null3"/>
      </w:pPr>
      <w:r>
        <w:rPr>
          <w:rFonts w:ascii="仿宋_GB2312" w:hAnsi="仿宋_GB2312" w:cs="仿宋_GB2312" w:eastAsia="仿宋_GB2312"/>
        </w:rPr>
        <w:t>地址：渭南初级中学</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满足教育教学需要，同时保障学生健康成长、为学生提供必要的午休条件。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分体式午休课桌椅</w:t>
            </w:r>
          </w:p>
        </w:tc>
        <w:tc>
          <w:tcPr>
            <w:tcW w:type="dxa" w:w="831"/>
          </w:tcPr>
          <w:p>
            <w:pPr>
              <w:pStyle w:val="null3"/>
              <w:jc w:val="right"/>
            </w:pPr>
            <w:r>
              <w:rPr>
                <w:rFonts w:ascii="仿宋_GB2312" w:hAnsi="仿宋_GB2312" w:cs="仿宋_GB2312" w:eastAsia="仿宋_GB2312"/>
              </w:rPr>
              <w:t>1,300.00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标的名称：分体式午休课桌椅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276"/>
              <w:gridCol w:w="1276"/>
            </w:tblGrid>
            <w:tr>
              <w:tc>
                <w:tcPr>
                  <w:tcW w:type="dxa" w:w="1276"/>
                </w:tcPr>
                <w:p>
                  <w:pPr>
                    <w:pStyle w:val="null3"/>
                  </w:pPr>
                  <w:r>
                    <w:rPr>
                      <w:rFonts w:ascii="仿宋_GB2312" w:hAnsi="仿宋_GB2312" w:cs="仿宋_GB2312" w:eastAsia="仿宋_GB2312"/>
                      <w:sz w:val="19"/>
                    </w:rPr>
                    <w:t>午休课桌椅参数</w:t>
                  </w:r>
                </w:p>
              </w:tc>
              <w:tc>
                <w:tcPr>
                  <w:tcW w:type="dxa" w:w="1276"/>
                </w:tcPr>
                <w:p>
                  <w:pPr>
                    <w:pStyle w:val="null3"/>
                  </w:pPr>
                  <w:r>
                    <w:rPr>
                      <w:rFonts w:ascii="仿宋_GB2312" w:hAnsi="仿宋_GB2312" w:cs="仿宋_GB2312" w:eastAsia="仿宋_GB2312"/>
                      <w:sz w:val="19"/>
                    </w:rPr>
                    <w:t>一、课桌</w:t>
                  </w:r>
                  <w:r>
                    <w:br/>
                  </w:r>
                  <w:r>
                    <w:rPr>
                      <w:rFonts w:ascii="仿宋_GB2312" w:hAnsi="仿宋_GB2312" w:cs="仿宋_GB2312" w:eastAsia="仿宋_GB2312"/>
                      <w:sz w:val="19"/>
                    </w:rPr>
                    <w:t xml:space="preserve"> 1、桌面尺寸:600mm*400mm厚≥18mm ,木质部分采用环保双贴面复合板，封边采用一次成型注塑封边，带笔槽，表面光滑平整、高耐老化。</w:t>
                  </w:r>
                  <w:r>
                    <w:br/>
                  </w:r>
                  <w:r>
                    <w:rPr>
                      <w:rFonts w:ascii="仿宋_GB2312" w:hAnsi="仿宋_GB2312" w:cs="仿宋_GB2312" w:eastAsia="仿宋_GB2312"/>
                      <w:sz w:val="19"/>
                    </w:rPr>
                    <w:t xml:space="preserve"> 2、桌斗:采用≥0.8mm冷轧钢板一次成型冲压工艺，高度110MM，上托采用≥1.5mm冷轧钢板。</w:t>
                  </w:r>
                  <w:r>
                    <w:br/>
                  </w:r>
                  <w:r>
                    <w:rPr>
                      <w:rFonts w:ascii="仿宋_GB2312" w:hAnsi="仿宋_GB2312" w:cs="仿宋_GB2312" w:eastAsia="仿宋_GB2312"/>
                      <w:sz w:val="19"/>
                    </w:rPr>
                    <w:t xml:space="preserve"> 3、钢架:底脚管为φ30*60,立脚主管为φ37*68，内升降管采用30*60,横挡支撑管为30*60，所有管厚度≥1.2mm，带书包挂钩。所有钢架采用二氧化碳保护焊焊接，金属部件经过烘干，除油，打磨，喷丸等工艺处理，表面采用热固性粉末涂料静电喷涂处理，使涂层与金属表面的附着力更强，不易腐蚀，不易脱落。</w:t>
                  </w:r>
                  <w:r>
                    <w:br/>
                  </w:r>
                  <w:r>
                    <w:rPr>
                      <w:rFonts w:ascii="仿宋_GB2312" w:hAnsi="仿宋_GB2312" w:cs="仿宋_GB2312" w:eastAsia="仿宋_GB2312"/>
                      <w:sz w:val="19"/>
                    </w:rPr>
                    <w:t xml:space="preserve"> 4、脚套采用优质PP耐撞击塑料一体射出成型，并固定于管脚上，防滑耐用并不易脱落。</w:t>
                  </w:r>
                  <w:r>
                    <w:br/>
                  </w:r>
                  <w:r>
                    <w:rPr>
                      <w:rFonts w:ascii="仿宋_GB2312" w:hAnsi="仿宋_GB2312" w:cs="仿宋_GB2312" w:eastAsia="仿宋_GB2312"/>
                      <w:sz w:val="19"/>
                    </w:rPr>
                    <w:t xml:space="preserve"> 5、课桌底部配置PE藤编工艺腿部支撑，承压力大于180KG。</w:t>
                  </w:r>
                  <w:r>
                    <w:br/>
                  </w:r>
                  <w:r>
                    <w:rPr>
                      <w:rFonts w:ascii="仿宋_GB2312" w:hAnsi="仿宋_GB2312" w:cs="仿宋_GB2312" w:eastAsia="仿宋_GB2312"/>
                      <w:sz w:val="19"/>
                    </w:rPr>
                    <w:t xml:space="preserve"> 6、课桌具备升降功能，安全可靠。课桌可调节高度为730-790mm（上课状态），730-1170mm（午休状态）可根据个人使用调整高度，刻度采用激光双面雕刻，能直观的体现桌面实时高度与国标课桌椅型号。</w:t>
                  </w:r>
                  <w:r>
                    <w:br/>
                  </w:r>
                  <w:r>
                    <w:rPr>
                      <w:rFonts w:ascii="仿宋_GB2312" w:hAnsi="仿宋_GB2312" w:cs="仿宋_GB2312" w:eastAsia="仿宋_GB2312"/>
                      <w:sz w:val="19"/>
                    </w:rPr>
                    <w:t xml:space="preserve"> 二、课椅</w:t>
                  </w:r>
                  <w:r>
                    <w:br/>
                  </w:r>
                  <w:r>
                    <w:rPr>
                      <w:rFonts w:ascii="仿宋_GB2312" w:hAnsi="仿宋_GB2312" w:cs="仿宋_GB2312" w:eastAsia="仿宋_GB2312"/>
                      <w:sz w:val="19"/>
                    </w:rPr>
                    <w:t xml:space="preserve"> 1、课椅坐面与靠背采用面料采用v型PE编藤工艺。联体工艺，一次成型。凳面及靠背具有曲线设计，适应长期伏坐姿势，改善久坐疲劳，坐面：395mm*460mm(±5mm）  靠面：540mm*460mm(±5mm）。课椅可升降，调节高度是360-490mm,可根据个人使用调整高度与国标课桌椅型号，刻度采用激光双面雕刻。</w:t>
                  </w:r>
                  <w:r>
                    <w:br/>
                  </w:r>
                  <w:r>
                    <w:rPr>
                      <w:rFonts w:ascii="仿宋_GB2312" w:hAnsi="仿宋_GB2312" w:cs="仿宋_GB2312" w:eastAsia="仿宋_GB2312"/>
                      <w:sz w:val="19"/>
                    </w:rPr>
                    <w:t xml:space="preserve"> 2、钢架:底脚管为φ30*60,立脚主管为φ37*68*≥T1.2mm,内升降管采用30*60*≥T1. 2mm,横档管为φ20*40*≥T1.2mm,  扶手管为φ24*48*≥T1.0mm，坐靠固定管为φ15*30*≥T1. 5mm椭圆优质钢管焊接，所有钢架采用二氧化碳保护焊焊接，金属部件经过烘干，除油，打磨，喷丸等工艺处理,表面采用塑钢热固性粉末涂料静电喷涂处理，使涂层与金属表面的附着力更强，不易腐蚀，不易脱落。</w:t>
                  </w:r>
                  <w:r>
                    <w:br/>
                  </w:r>
                  <w:r>
                    <w:rPr>
                      <w:rFonts w:ascii="仿宋_GB2312" w:hAnsi="仿宋_GB2312" w:cs="仿宋_GB2312" w:eastAsia="仿宋_GB2312"/>
                      <w:sz w:val="19"/>
                    </w:rPr>
                    <w:t xml:space="preserve"> 3、脚套采用优质PP耐撞击塑料一体射出成型并固定于管脚上，防滑耐用并不易脱落。</w:t>
                  </w:r>
                  <w:r>
                    <w:br/>
                  </w:r>
                  <w:r>
                    <w:rPr>
                      <w:rFonts w:ascii="仿宋_GB2312" w:hAnsi="仿宋_GB2312" w:cs="仿宋_GB2312" w:eastAsia="仿宋_GB2312"/>
                      <w:sz w:val="19"/>
                    </w:rPr>
                    <w:t xml:space="preserve"> 4、课椅具备（155°-160°）平躺午休功能（符合人体工学设计），通过扶手部位多档角度调节，通过角度调节结合课桌的脚部支撑使课桌椅具有平躺午休的功能。</w:t>
                  </w:r>
                </w:p>
              </w:tc>
            </w:tr>
            <w:tr>
              <w:tc>
                <w:tcPr>
                  <w:tcW w:type="dxa" w:w="1276"/>
                </w:tcPr>
                <w:p>
                  <w:pPr>
                    <w:pStyle w:val="null3"/>
                  </w:pPr>
                  <w:r>
                    <w:rPr>
                      <w:rFonts w:ascii="仿宋_GB2312" w:hAnsi="仿宋_GB2312" w:cs="仿宋_GB2312" w:eastAsia="仿宋_GB2312"/>
                      <w:sz w:val="19"/>
                    </w:rPr>
                    <w:t>储物箱要求</w:t>
                  </w:r>
                </w:p>
              </w:tc>
              <w:tc>
                <w:tcPr>
                  <w:tcW w:type="dxa" w:w="1276"/>
                </w:tcPr>
                <w:p>
                  <w:pPr>
                    <w:pStyle w:val="null3"/>
                  </w:pPr>
                  <w:r>
                    <w:rPr>
                      <w:rFonts w:ascii="仿宋_GB2312" w:hAnsi="仿宋_GB2312" w:cs="仿宋_GB2312" w:eastAsia="仿宋_GB2312"/>
                      <w:sz w:val="19"/>
                    </w:rPr>
                    <w:t>座椅的下方增加PP塑料一体成型储物箱，高强度抗摔，方便学生储物。</w:t>
                  </w:r>
                </w:p>
              </w:tc>
            </w:tr>
            <w:tr>
              <w:tc>
                <w:tcPr>
                  <w:tcW w:type="dxa" w:w="1276"/>
                </w:tcPr>
                <w:p>
                  <w:pPr>
                    <w:pStyle w:val="null3"/>
                  </w:pPr>
                  <w:r>
                    <w:rPr>
                      <w:rFonts w:ascii="仿宋_GB2312" w:hAnsi="仿宋_GB2312" w:cs="仿宋_GB2312" w:eastAsia="仿宋_GB2312"/>
                      <w:sz w:val="19"/>
                    </w:rPr>
                    <w:t>多功能靠枕要求</w:t>
                  </w:r>
                  <w:r>
                    <w:br/>
                  </w:r>
                  <w:r>
                    <w:rPr>
                      <w:rFonts w:ascii="仿宋_GB2312" w:hAnsi="仿宋_GB2312" w:cs="仿宋_GB2312" w:eastAsia="仿宋_GB2312"/>
                      <w:sz w:val="19"/>
                    </w:rPr>
                    <w:t xml:space="preserve"> （头枕）</w:t>
                  </w:r>
                </w:p>
              </w:tc>
              <w:tc>
                <w:tcPr>
                  <w:tcW w:type="dxa" w:w="1276"/>
                </w:tcPr>
                <w:p>
                  <w:pPr>
                    <w:pStyle w:val="null3"/>
                  </w:pPr>
                  <w:r>
                    <w:rPr>
                      <w:rFonts w:ascii="仿宋_GB2312" w:hAnsi="仿宋_GB2312" w:cs="仿宋_GB2312" w:eastAsia="仿宋_GB2312"/>
                      <w:sz w:val="19"/>
                    </w:rPr>
                    <w:t>面料采用高密度同婴幼儿品牌的原棉料，更贴合，更柔软，更舒适。不含荧光剂，内部填充高密度海绵，海绵密度200以上，外套可拆洗。午休时做为头枕，上课时作为腰部支撑，改善学生坐姿。</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640"/>
            </w:pPr>
            <w:r>
              <w:rPr>
                <w:rFonts w:ascii="仿宋_GB2312" w:hAnsi="仿宋_GB2312" w:cs="仿宋_GB2312" w:eastAsia="仿宋_GB2312"/>
              </w:rPr>
              <w:t>1、定义</w:t>
            </w:r>
          </w:p>
          <w:p>
            <w:pPr>
              <w:pStyle w:val="null3"/>
            </w:pPr>
            <w:r>
              <w:rPr>
                <w:rFonts w:ascii="仿宋_GB2312" w:hAnsi="仿宋_GB2312" w:cs="仿宋_GB2312" w:eastAsia="仿宋_GB2312"/>
              </w:rPr>
              <w:t>中小学生“可躺式”课桌椅一般配有椅靠背、角度调节机构、扶手（选配）、椅座面、搁腿、升降机构，椅靠背能多角度向后调节，满足中小学生在教室中午间休息和上课使用的课桌椅。</w:t>
            </w:r>
          </w:p>
          <w:p>
            <w:pPr>
              <w:pStyle w:val="null3"/>
            </w:pPr>
            <w:r>
              <w:rPr>
                <w:rFonts w:ascii="仿宋_GB2312" w:hAnsi="仿宋_GB2312" w:cs="仿宋_GB2312" w:eastAsia="仿宋_GB2312"/>
              </w:rPr>
              <w:t>2、具体尺寸参数</w:t>
            </w:r>
          </w:p>
          <w:p>
            <w:pPr>
              <w:pStyle w:val="null3"/>
            </w:pPr>
            <w:r>
              <w:rPr>
                <w:rFonts w:ascii="仿宋_GB2312" w:hAnsi="仿宋_GB2312" w:cs="仿宋_GB2312" w:eastAsia="仿宋_GB2312"/>
              </w:rPr>
              <w:t>目前，尚未出台中小学午休课桌椅国家标准、行业标准。各地在开展“可躺式”课桌椅进校园试点工作中，要严格执行普通课桌椅的国家标准、行业标准中的相关要求，在充分征求学校和学生意见和建议、做好技术调研和论证基础上，科学规范制定采购尺寸参数要求，确保采购配备的“可躺式”课桌椅符合学校现实条件，满足学生使用需求。</w:t>
            </w:r>
          </w:p>
          <w:p>
            <w:pPr>
              <w:pStyle w:val="null3"/>
            </w:pPr>
            <w:r>
              <w:rPr>
                <w:rFonts w:ascii="仿宋_GB2312" w:hAnsi="仿宋_GB2312" w:cs="仿宋_GB2312" w:eastAsia="仿宋_GB2312"/>
              </w:rPr>
              <w:t>3、理化性能</w:t>
            </w:r>
          </w:p>
          <w:p>
            <w:pPr>
              <w:pStyle w:val="null3"/>
            </w:pPr>
            <w:r>
              <w:rPr>
                <w:rFonts w:ascii="仿宋_GB2312" w:hAnsi="仿宋_GB2312" w:cs="仿宋_GB2312" w:eastAsia="仿宋_GB2312"/>
              </w:rPr>
              <w:t>（1）漆膜理化性能：应符合《家具表面漆膜理化性能试验》GB/T4893.1～4 和 7～9 系列和《人造板及饰面人造板理化性能试验方法》GB/T17657-2013 中相关规定。</w:t>
            </w:r>
          </w:p>
          <w:p>
            <w:pPr>
              <w:pStyle w:val="null3"/>
            </w:pPr>
            <w:r>
              <w:rPr>
                <w:rFonts w:ascii="仿宋_GB2312" w:hAnsi="仿宋_GB2312" w:cs="仿宋_GB2312" w:eastAsia="仿宋_GB2312"/>
              </w:rPr>
              <w:t>（2）软硬质覆面理化性能：应符合《人造板及饰面人造板理化性能试验方法》GB/T17657-2013和《家具表面漆膜理化性能试验》GB/T4893.1、GB/T4893.9 相关规定。</w:t>
            </w:r>
          </w:p>
          <w:p>
            <w:pPr>
              <w:pStyle w:val="null3"/>
            </w:pPr>
            <w:r>
              <w:rPr>
                <w:rFonts w:ascii="仿宋_GB2312" w:hAnsi="仿宋_GB2312" w:cs="仿宋_GB2312" w:eastAsia="仿宋_GB2312"/>
              </w:rPr>
              <w:t>（3）金属件理化性能：应符合《金属家具通用技术条件》GB/T3325-2017 和《轻工产品金属镀层和化学处理层的耐腐蚀试验方法中性盐雾试验（NSS）法》QB/T3826-1999 相关规定。</w:t>
            </w:r>
          </w:p>
          <w:p>
            <w:pPr>
              <w:pStyle w:val="null3"/>
            </w:pPr>
            <w:r>
              <w:rPr>
                <w:rFonts w:ascii="仿宋_GB2312" w:hAnsi="仿宋_GB2312" w:cs="仿宋_GB2312" w:eastAsia="仿宋_GB2312"/>
              </w:rPr>
              <w:t>（4）塑料椅面理化性能：（1）耐污染应符合《人造板及饰面人造板理化性能试验方法》GB/T17657-2013 中相关规定。（2）耐老化应符合《塑料家具通用技术条件》中塑料材料理化性能 相关规定。</w:t>
            </w:r>
          </w:p>
          <w:p>
            <w:pPr>
              <w:pStyle w:val="null3"/>
            </w:pPr>
            <w:r>
              <w:rPr>
                <w:rFonts w:ascii="仿宋_GB2312" w:hAnsi="仿宋_GB2312" w:cs="仿宋_GB2312" w:eastAsia="仿宋_GB2312"/>
              </w:rPr>
              <w:t xml:space="preserve">4、安全要求 </w:t>
            </w:r>
          </w:p>
          <w:p>
            <w:pPr>
              <w:pStyle w:val="null3"/>
            </w:pPr>
            <w:r>
              <w:rPr>
                <w:rFonts w:ascii="仿宋_GB2312" w:hAnsi="仿宋_GB2312" w:cs="仿宋_GB2312" w:eastAsia="仿宋_GB2312"/>
              </w:rPr>
              <w:t>“可躺式”课桌椅应符合《课桌椅》QB/T4071-2021 中安全要求的规定。</w:t>
            </w:r>
          </w:p>
          <w:p>
            <w:pPr>
              <w:pStyle w:val="null3"/>
            </w:pPr>
            <w:r>
              <w:rPr>
                <w:rFonts w:ascii="仿宋_GB2312" w:hAnsi="仿宋_GB2312" w:cs="仿宋_GB2312" w:eastAsia="仿宋_GB2312"/>
              </w:rPr>
              <w:t>（1）所有零部件应无破损。</w:t>
            </w:r>
          </w:p>
          <w:p>
            <w:pPr>
              <w:pStyle w:val="null3"/>
            </w:pPr>
            <w:r>
              <w:rPr>
                <w:rFonts w:ascii="仿宋_GB2312" w:hAnsi="仿宋_GB2312" w:cs="仿宋_GB2312" w:eastAsia="仿宋_GB2312"/>
              </w:rPr>
              <w:t>（2）金属件应无端部未封口的管件，闷盖应不易脱落。</w:t>
            </w:r>
          </w:p>
          <w:p>
            <w:pPr>
              <w:pStyle w:val="null3"/>
            </w:pPr>
            <w:r>
              <w:rPr>
                <w:rFonts w:ascii="仿宋_GB2312" w:hAnsi="仿宋_GB2312" w:cs="仿宋_GB2312" w:eastAsia="仿宋_GB2312"/>
              </w:rPr>
              <w:t>（3）与人体接触的部位不应有毛刺、刃角、锐棱、透钉及其他尖锐物。</w:t>
            </w:r>
          </w:p>
          <w:p>
            <w:pPr>
              <w:pStyle w:val="null3"/>
            </w:pPr>
            <w:r>
              <w:rPr>
                <w:rFonts w:ascii="仿宋_GB2312" w:hAnsi="仿宋_GB2312" w:cs="仿宋_GB2312" w:eastAsia="仿宋_GB2312"/>
              </w:rPr>
              <w:t>（4）升降机构、角度调节机构应设有锁定装置或限位装置，该装置应灵活、可靠、安全。</w:t>
            </w:r>
          </w:p>
          <w:p>
            <w:pPr>
              <w:pStyle w:val="null3"/>
            </w:pPr>
            <w:r>
              <w:rPr>
                <w:rFonts w:ascii="仿宋_GB2312" w:hAnsi="仿宋_GB2312" w:cs="仿宋_GB2312" w:eastAsia="仿宋_GB2312"/>
              </w:rPr>
              <w:t>（5）与人体接触的座面、椅背和扶手等边缘倒圆角的半径至少应为2mm。</w:t>
            </w:r>
          </w:p>
          <w:p>
            <w:pPr>
              <w:pStyle w:val="null3"/>
            </w:pPr>
            <w:r>
              <w:rPr>
                <w:rFonts w:ascii="仿宋_GB2312" w:hAnsi="仿宋_GB2312" w:cs="仿宋_GB2312" w:eastAsia="仿宋_GB2312"/>
              </w:rPr>
              <w:t>（6）某些可能造成伤害的部件，应不可能被接触到，除非使用专门的拆卸工具。</w:t>
            </w:r>
          </w:p>
          <w:p>
            <w:pPr>
              <w:pStyle w:val="null3"/>
            </w:pPr>
            <w:r>
              <w:rPr>
                <w:rFonts w:ascii="仿宋_GB2312" w:hAnsi="仿宋_GB2312" w:cs="仿宋_GB2312" w:eastAsia="仿宋_GB2312"/>
              </w:rPr>
              <w:t>（7）课椅应不可能被随意拆卸，除非使用专门的拆卸工具。所有无覆盖的孔洞直径应≤5mm 或≥25mm。</w:t>
            </w:r>
          </w:p>
          <w:p>
            <w:pPr>
              <w:pStyle w:val="null3"/>
            </w:pPr>
            <w:r>
              <w:rPr>
                <w:rFonts w:ascii="仿宋_GB2312" w:hAnsi="仿宋_GB2312" w:cs="仿宋_GB2312" w:eastAsia="仿宋_GB2312"/>
              </w:rPr>
              <w:t>5、力学性能</w:t>
            </w:r>
          </w:p>
          <w:p>
            <w:pPr>
              <w:pStyle w:val="null3"/>
            </w:pPr>
            <w:r>
              <w:rPr>
                <w:rFonts w:ascii="仿宋_GB2312" w:hAnsi="仿宋_GB2312" w:cs="仿宋_GB2312" w:eastAsia="仿宋_GB2312"/>
              </w:rPr>
              <w:t>（1）力学性能试验应符合《课桌椅》QB/T4071-2021相关规定。</w:t>
            </w:r>
          </w:p>
          <w:p>
            <w:pPr>
              <w:pStyle w:val="null3"/>
            </w:pPr>
            <w:r>
              <w:rPr>
                <w:rFonts w:ascii="仿宋_GB2312" w:hAnsi="仿宋_GB2312" w:cs="仿宋_GB2312" w:eastAsia="仿宋_GB2312"/>
              </w:rPr>
              <w:t xml:space="preserve">6、有害物质限量及品质属性 </w:t>
            </w:r>
          </w:p>
          <w:p>
            <w:pPr>
              <w:pStyle w:val="null3"/>
            </w:pPr>
            <w:r>
              <w:rPr>
                <w:rFonts w:ascii="仿宋_GB2312" w:hAnsi="仿宋_GB2312" w:cs="仿宋_GB2312" w:eastAsia="仿宋_GB2312"/>
              </w:rPr>
              <w:t>（1）木制件甲醛释放量、苯、甲苯、二甲苯应符合《绿色产品评价—家具》GB/T35607-2017 中的限量要求。</w:t>
            </w:r>
          </w:p>
          <w:p>
            <w:pPr>
              <w:pStyle w:val="null3"/>
            </w:pPr>
            <w:r>
              <w:rPr>
                <w:rFonts w:ascii="仿宋_GB2312" w:hAnsi="仿宋_GB2312" w:cs="仿宋_GB2312" w:eastAsia="仿宋_GB2312"/>
              </w:rPr>
              <w:t>（2）涂层、塑料中的可迁移元素应符合《课桌椅》QB/T4071-2021相关规定。</w:t>
            </w:r>
          </w:p>
          <w:p>
            <w:pPr>
              <w:pStyle w:val="null3"/>
            </w:pPr>
            <w:r>
              <w:rPr>
                <w:rFonts w:ascii="仿宋_GB2312" w:hAnsi="仿宋_GB2312" w:cs="仿宋_GB2312" w:eastAsia="仿宋_GB2312"/>
              </w:rPr>
              <w:t>（3）邻苯二甲酸酯应符合《课桌椅》QB/T4071-2021中的限量要求。</w:t>
            </w:r>
          </w:p>
          <w:p>
            <w:pPr>
              <w:pStyle w:val="null3"/>
            </w:pPr>
            <w:r>
              <w:rPr>
                <w:rFonts w:ascii="仿宋_GB2312" w:hAnsi="仿宋_GB2312" w:cs="仿宋_GB2312" w:eastAsia="仿宋_GB2312"/>
              </w:rPr>
              <w:t>（4）多环芳烃应符合《课桌椅》QB/T4071-2021中的限量要求。</w:t>
            </w:r>
          </w:p>
          <w:p>
            <w:pPr>
              <w:pStyle w:val="null3"/>
            </w:pPr>
            <w:r>
              <w:rPr>
                <w:rFonts w:ascii="仿宋_GB2312" w:hAnsi="仿宋_GB2312" w:cs="仿宋_GB2312" w:eastAsia="仿宋_GB2312"/>
              </w:rPr>
              <w:t>（5）多溴联苯、多溴二苯醚应符合《课桌椅》QB/T4071-2021中的限量要求。</w:t>
            </w:r>
          </w:p>
          <w:p>
            <w:pPr>
              <w:pStyle w:val="null3"/>
            </w:pPr>
            <w:r>
              <w:rPr>
                <w:rFonts w:ascii="仿宋_GB2312" w:hAnsi="仿宋_GB2312" w:cs="仿宋_GB2312" w:eastAsia="仿宋_GB2312"/>
              </w:rPr>
              <w:t>（6）重金属应符合《课桌椅》QB/T4071-2021中的限量要求。</w:t>
            </w:r>
          </w:p>
          <w:p>
            <w:pPr>
              <w:pStyle w:val="null3"/>
            </w:pPr>
            <w:r>
              <w:rPr>
                <w:rFonts w:ascii="仿宋_GB2312" w:hAnsi="仿宋_GB2312" w:cs="仿宋_GB2312" w:eastAsia="仿宋_GB2312"/>
              </w:rPr>
              <w:t>7、其他要求</w:t>
            </w:r>
          </w:p>
          <w:p>
            <w:pPr>
              <w:pStyle w:val="null3"/>
            </w:pPr>
            <w:r>
              <w:rPr>
                <w:rFonts w:ascii="仿宋_GB2312" w:hAnsi="仿宋_GB2312" w:cs="仿宋_GB2312" w:eastAsia="仿宋_GB2312"/>
              </w:rPr>
              <w:t>（1）不需要现场踏勘</w:t>
            </w:r>
          </w:p>
          <w:p>
            <w:pPr>
              <w:pStyle w:val="null3"/>
            </w:pPr>
            <w:r>
              <w:rPr>
                <w:rFonts w:ascii="仿宋_GB2312" w:hAnsi="仿宋_GB2312" w:cs="仿宋_GB2312" w:eastAsia="仿宋_GB2312"/>
              </w:rPr>
              <w:t>（2）投标人需提供分体式午休课桌椅样品1套，并到开标现场演示。未提供样品者按无效投标处理。（样品由采购人留存，以备验收时使用）</w:t>
            </w:r>
          </w:p>
          <w:p>
            <w:pPr>
              <w:pStyle w:val="null3"/>
            </w:pPr>
            <w:r>
              <w:rPr>
                <w:rFonts w:ascii="仿宋_GB2312" w:hAnsi="仿宋_GB2312" w:cs="仿宋_GB2312" w:eastAsia="仿宋_GB2312"/>
              </w:rPr>
              <w:t>（3）关于演示的要求：需要带实物到现场演示</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合同签订后30日内完成安装及调试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渭南初级中学</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供应商供货完成，采购人验收合格后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1、所供产品的规格、数量符合采购文件供应商投标承诺及采购合同约定的要求。 2、所有产品均已运输至指定地点，并安装调试完毕。 3、采购文件供应商投标承诺及采购合同约定的附件、工具、资料等齐全；提供产品使用说明书、合格证。 4、验收、交付标准和方法： 初验：货物到达交货地点后，由使用单位根据合同对货物的名称、品牌、规格、型号、产地、数量进行检查。 终验：所有货物安装完毕，正常使用5个日历日后，由采购人、使用单位进行终验（最终验收），发现问题须在5个工作日内整改完毕，合格后签发《终验合格单》。 验收不合格的成交供应商，必须在接到通知后7个日历日内确保货物通过验收。如接到通知后7个日历日内验收仍不合格，采购人可提出索赔或取消其供货合同。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1、自验收合格日起，免费售后服务质保期不低于一年。 2、如遇产品损坏维修保养情况，供应商需保证能在接到采购人电话后，12小时内到达现场。</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具体详见合同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 xml:space="preserve"> 供应商按招标文件要求提供样品，并在开标当日上午9:00前送达渭南市市民综合服务中心西配楼北边一楼大厅 。</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供应商需在项目电子化交易系统中按要求上传《投标函》，并进行电子签章。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供应商需在项目电子化交易系统中按要求上传《书面声明》，并进行电子签章。</w:t>
            </w:r>
          </w:p>
        </w:tc>
        <w:tc>
          <w:tcPr>
            <w:tcW w:type="dxa" w:w="1661"/>
          </w:tcPr>
          <w:p>
            <w:pPr>
              <w:pStyle w:val="null3"/>
            </w:pPr>
            <w:r>
              <w:rPr>
                <w:rFonts w:ascii="仿宋_GB2312" w:hAnsi="仿宋_GB2312" w:cs="仿宋_GB2312" w:eastAsia="仿宋_GB2312"/>
              </w:rPr>
              <w:t>书面声明.docx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w:t>
            </w:r>
          </w:p>
        </w:tc>
        <w:tc>
          <w:tcPr>
            <w:tcW w:type="dxa" w:w="3322"/>
          </w:tcPr>
          <w:p>
            <w:pPr>
              <w:pStyle w:val="null3"/>
            </w:pPr>
            <w:r>
              <w:rPr>
                <w:rFonts w:ascii="仿宋_GB2312" w:hAnsi="仿宋_GB2312" w:cs="仿宋_GB2312" w:eastAsia="仿宋_GB2312"/>
              </w:rPr>
              <w:t>须提供合法注册的法人或其他组织的营业执照等证明文件（事业单位法人证书\民办非企业单位登记证书\非企业专业服务机构执业许可证等），自然人须提供的身份证明文件；供应商需在项目电子化交易系统中按要求上传，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供应商应授权合法的人员参加投标全过程</w:t>
            </w:r>
          </w:p>
        </w:tc>
        <w:tc>
          <w:tcPr>
            <w:tcW w:type="dxa" w:w="3322"/>
          </w:tcPr>
          <w:p>
            <w:pPr>
              <w:pStyle w:val="null3"/>
            </w:pPr>
            <w:r>
              <w:rPr>
                <w:rFonts w:ascii="仿宋_GB2312" w:hAnsi="仿宋_GB2312" w:cs="仿宋_GB2312" w:eastAsia="仿宋_GB2312"/>
              </w:rPr>
              <w:t>法定代表人参加的，须出具法定代表人身份证明，并与营业执照上信息一致；法定代表人授权代表参加的，须出具法定代表人授权书及授权代表身份证；供应商需在项目电子化交易系统中按要求上传法定代表人身份证明或法定代表人授权书及授权代表身份证证明文件，并进行电子签章。</w:t>
            </w:r>
          </w:p>
        </w:tc>
        <w:tc>
          <w:tcPr>
            <w:tcW w:type="dxa" w:w="1661"/>
          </w:tcPr>
          <w:p>
            <w:pPr>
              <w:pStyle w:val="null3"/>
            </w:pPr>
            <w:r>
              <w:rPr>
                <w:rFonts w:ascii="仿宋_GB2312" w:hAnsi="仿宋_GB2312" w:cs="仿宋_GB2312" w:eastAsia="仿宋_GB2312"/>
              </w:rPr>
              <w:t>法定代表人身份证明、法定代表人授权委托书.docx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缴纳税收证明</w:t>
            </w:r>
          </w:p>
        </w:tc>
        <w:tc>
          <w:tcPr>
            <w:tcW w:type="dxa" w:w="3322"/>
          </w:tcPr>
          <w:p>
            <w:pPr>
              <w:pStyle w:val="null3"/>
            </w:pPr>
            <w:r>
              <w:rPr>
                <w:rFonts w:ascii="仿宋_GB2312" w:hAnsi="仿宋_GB2312" w:cs="仿宋_GB2312" w:eastAsia="仿宋_GB2312"/>
              </w:rPr>
              <w:t xml:space="preserve"> 提供开标前一年内任意一个月依法缴纳税收的相关凭据（时间以税款所属日期为准、增值税、企业所得税至少提供一种），凭据应有税务机关或代收机关的公章或业务专用章；依法免税或无须缴纳税收的供应商，应提供相应证明文件；供应商需在项目电子化交易系统中按要求上传，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开标前一年内任意一个月的已缴纳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财务审计报告或资信证明</w:t>
            </w:r>
          </w:p>
        </w:tc>
        <w:tc>
          <w:tcPr>
            <w:tcW w:type="dxa" w:w="3322"/>
          </w:tcPr>
          <w:p>
            <w:pPr>
              <w:pStyle w:val="null3"/>
            </w:pPr>
            <w:r>
              <w:rPr>
                <w:rFonts w:ascii="仿宋_GB2312" w:hAnsi="仿宋_GB2312" w:cs="仿宋_GB2312" w:eastAsia="仿宋_GB2312"/>
              </w:rPr>
              <w:t>提供具有财务审计资质单位出具的2024年度完整财务报告或开标前六个月内其基本账户银行出具的资信证明；供应商需在项目电子化交易系统中按要求上传，并进行电子签章。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信用记录书面声明</w:t>
            </w:r>
          </w:p>
        </w:tc>
        <w:tc>
          <w:tcPr>
            <w:tcW w:type="dxa" w:w="3322"/>
          </w:tcPr>
          <w:p>
            <w:pPr>
              <w:pStyle w:val="null3"/>
            </w:pPr>
            <w:r>
              <w:rPr>
                <w:rFonts w:ascii="仿宋_GB2312" w:hAnsi="仿宋_GB2312" w:cs="仿宋_GB2312" w:eastAsia="仿宋_GB2312"/>
              </w:rPr>
              <w:t>供应商需在项目电子化交易系统中按要求上传《供应商信用记录书面声明函》，并进行电子签章。</w:t>
            </w:r>
          </w:p>
        </w:tc>
        <w:tc>
          <w:tcPr>
            <w:tcW w:type="dxa" w:w="1661"/>
          </w:tcPr>
          <w:p>
            <w:pPr>
              <w:pStyle w:val="null3"/>
            </w:pPr>
            <w:r>
              <w:rPr>
                <w:rFonts w:ascii="仿宋_GB2312" w:hAnsi="仿宋_GB2312" w:cs="仿宋_GB2312" w:eastAsia="仿宋_GB2312"/>
              </w:rPr>
              <w:t>供应商信用记录书面声明函.docx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供应商需在项目电子化交易系统中按要求上传《供应商无重大违法记录书面声明函》，并进行电子签章。</w:t>
            </w:r>
          </w:p>
        </w:tc>
        <w:tc>
          <w:tcPr>
            <w:tcW w:type="dxa" w:w="1661"/>
          </w:tcPr>
          <w:p>
            <w:pPr>
              <w:pStyle w:val="null3"/>
            </w:pPr>
            <w:r>
              <w:rPr>
                <w:rFonts w:ascii="仿宋_GB2312" w:hAnsi="仿宋_GB2312" w:cs="仿宋_GB2312" w:eastAsia="仿宋_GB2312"/>
              </w:rPr>
              <w:t>供应商无重大违法记录书面声明函.docx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非联合体投标声明</w:t>
            </w:r>
          </w:p>
        </w:tc>
        <w:tc>
          <w:tcPr>
            <w:tcW w:type="dxa" w:w="3322"/>
          </w:tcPr>
          <w:p>
            <w:pPr>
              <w:pStyle w:val="null3"/>
            </w:pPr>
            <w:r>
              <w:rPr>
                <w:rFonts w:ascii="仿宋_GB2312" w:hAnsi="仿宋_GB2312" w:cs="仿宋_GB2312" w:eastAsia="仿宋_GB2312"/>
              </w:rPr>
              <w:t>本项目不接受联合体投标，供应商需在项目电子化交易系统中按要求上传《非联合体投标声明》，并进行电子签章。</w:t>
            </w:r>
          </w:p>
        </w:tc>
        <w:tc>
          <w:tcPr>
            <w:tcW w:type="dxa" w:w="1661"/>
          </w:tcPr>
          <w:p>
            <w:pPr>
              <w:pStyle w:val="null3"/>
            </w:pPr>
            <w:r>
              <w:rPr>
                <w:rFonts w:ascii="仿宋_GB2312" w:hAnsi="仿宋_GB2312" w:cs="仿宋_GB2312" w:eastAsia="仿宋_GB2312"/>
              </w:rPr>
              <w:t>非联合体投标声明.docx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参与的供应商提供的货物全部由符合政策要求的中小企业制造。监狱企业与残疾人福利性单位视同中小企业。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投标文件项目名称、项目编号</w:t>
            </w:r>
          </w:p>
        </w:tc>
        <w:tc>
          <w:tcPr>
            <w:tcW w:type="dxa" w:w="3322"/>
          </w:tcPr>
          <w:p>
            <w:pPr>
              <w:pStyle w:val="null3"/>
            </w:pPr>
            <w:r>
              <w:rPr>
                <w:rFonts w:ascii="仿宋_GB2312" w:hAnsi="仿宋_GB2312" w:cs="仿宋_GB2312" w:eastAsia="仿宋_GB2312"/>
              </w:rPr>
              <w:t>投标文件以下三处的项目名称、项目编号无遗漏，且与本项目一致： （1）封面； （2）投标函； （3）法定代表人委托授权书。</w:t>
            </w:r>
          </w:p>
        </w:tc>
        <w:tc>
          <w:tcPr>
            <w:tcW w:type="dxa" w:w="1661"/>
          </w:tcPr>
          <w:p>
            <w:pPr>
              <w:pStyle w:val="null3"/>
            </w:pPr>
            <w:r>
              <w:rPr>
                <w:rFonts w:ascii="仿宋_GB2312" w:hAnsi="仿宋_GB2312" w:cs="仿宋_GB2312" w:eastAsia="仿宋_GB2312"/>
              </w:rPr>
              <w:t>法定代表人身份证明、法定代表人授权委托书.docx 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对技术和商务要求响应</w:t>
            </w:r>
          </w:p>
        </w:tc>
        <w:tc>
          <w:tcPr>
            <w:tcW w:type="dxa" w:w="3322"/>
          </w:tcPr>
          <w:p>
            <w:pPr>
              <w:pStyle w:val="null3"/>
            </w:pPr>
            <w:r>
              <w:rPr>
                <w:rFonts w:ascii="仿宋_GB2312" w:hAnsi="仿宋_GB2312" w:cs="仿宋_GB2312" w:eastAsia="仿宋_GB2312"/>
              </w:rPr>
              <w:t>完全理解并接受招标文件的约束。</w:t>
            </w:r>
          </w:p>
        </w:tc>
        <w:tc>
          <w:tcPr>
            <w:tcW w:type="dxa" w:w="1661"/>
          </w:tcPr>
          <w:p>
            <w:pPr>
              <w:pStyle w:val="null3"/>
            </w:pPr>
            <w:r>
              <w:rPr>
                <w:rFonts w:ascii="仿宋_GB2312" w:hAnsi="仿宋_GB2312" w:cs="仿宋_GB2312" w:eastAsia="仿宋_GB2312"/>
              </w:rPr>
              <w:t>产品技术参数表 技术要求响应表.docx 商务应答表 商务响应表.docx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开标一览表</w:t>
            </w:r>
          </w:p>
        </w:tc>
        <w:tc>
          <w:tcPr>
            <w:tcW w:type="dxa" w:w="3322"/>
          </w:tcPr>
          <w:p>
            <w:pPr>
              <w:pStyle w:val="null3"/>
            </w:pPr>
            <w:r>
              <w:rPr>
                <w:rFonts w:ascii="仿宋_GB2312" w:hAnsi="仿宋_GB2312" w:cs="仿宋_GB2312" w:eastAsia="仿宋_GB2312"/>
              </w:rPr>
              <w:t>（1）报价符合唯一性要求；（2）开标一览表填写符合要求； （3）报价货币符合招标文件要求； （4）未超出招标文件规定的最高投标限价。</w:t>
            </w:r>
          </w:p>
        </w:tc>
        <w:tc>
          <w:tcPr>
            <w:tcW w:type="dxa" w:w="1661"/>
          </w:tcPr>
          <w:p>
            <w:pPr>
              <w:pStyle w:val="null3"/>
            </w:pPr>
            <w:r>
              <w:rPr>
                <w:rFonts w:ascii="仿宋_GB2312" w:hAnsi="仿宋_GB2312" w:cs="仿宋_GB2312" w:eastAsia="仿宋_GB2312"/>
              </w:rPr>
              <w:t>开标一览表 标的清单 报价明细表.docx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产品来源渠道</w:t>
            </w:r>
          </w:p>
        </w:tc>
        <w:tc>
          <w:tcPr>
            <w:tcW w:type="dxa" w:w="2492"/>
          </w:tcPr>
          <w:p>
            <w:pPr>
              <w:pStyle w:val="null3"/>
            </w:pPr>
            <w:r>
              <w:rPr>
                <w:rFonts w:ascii="仿宋_GB2312" w:hAnsi="仿宋_GB2312" w:cs="仿宋_GB2312" w:eastAsia="仿宋_GB2312"/>
              </w:rPr>
              <w:t>产品供应渠道正常、质量保证，各关键部件无假货、水货，检验手续合法有效、无产权纠纷。提供相关证明材料，按其响应程度计0-5分。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技术要求响应表.docx</w:t>
            </w:r>
          </w:p>
          <w:p>
            <w:pPr>
              <w:pStyle w:val="null3"/>
            </w:pPr>
            <w:r>
              <w:rPr>
                <w:rFonts w:ascii="仿宋_GB2312" w:hAnsi="仿宋_GB2312" w:cs="仿宋_GB2312" w:eastAsia="仿宋_GB2312"/>
              </w:rPr>
              <w:t>自行编制，格式不限.docx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针对本项目，有完善项目实施方案（包括但不限于供货组织措施、安装调试组织措施、运输配送措施，进度计划措施、安全保障、技术能力保障等）， 各个环节方案合理，责任明确，保证货物顺利供货安装调试到位，按其响应程度综合评比，计10分。 1、方案完整内容全面，措施详细，可操作性强，计7-10分； 2、方案内容较具体详细，具有一定可操作性，计4-6分； 3、方案内容一般，操作性一般，计0-3分。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自行编制，格式不限.docx</w:t>
            </w:r>
          </w:p>
        </w:tc>
      </w:tr>
      <w:tr>
        <w:tc>
          <w:tcPr>
            <w:tcW w:type="dxa" w:w="831"/>
            <w:vMerge/>
          </w:tcPr>
          <w:p/>
        </w:tc>
        <w:tc>
          <w:tcPr>
            <w:tcW w:type="dxa" w:w="1661"/>
          </w:tcPr>
          <w:p>
            <w:pPr>
              <w:pStyle w:val="null3"/>
            </w:pPr>
            <w:r>
              <w:rPr>
                <w:rFonts w:ascii="仿宋_GB2312" w:hAnsi="仿宋_GB2312" w:cs="仿宋_GB2312" w:eastAsia="仿宋_GB2312"/>
              </w:rPr>
              <w:t>技术能力</w:t>
            </w:r>
          </w:p>
        </w:tc>
        <w:tc>
          <w:tcPr>
            <w:tcW w:type="dxa" w:w="2492"/>
          </w:tcPr>
          <w:p>
            <w:pPr>
              <w:pStyle w:val="null3"/>
            </w:pPr>
            <w:r>
              <w:rPr>
                <w:rFonts w:ascii="仿宋_GB2312" w:hAnsi="仿宋_GB2312" w:cs="仿宋_GB2312" w:eastAsia="仿宋_GB2312"/>
              </w:rPr>
              <w:t>1、针对本项目技术要求，其投标文件中对其相关内容有完整细致响应，按其响应程度综合评比，计1-3分； 2、所投产品规格型号描述详细，各部分功能描述层次清楚，功能直观，配置合理，达到实用、先进、稳定、合理的要求，按其响应程度综合评比，计1-4分； 3、所投产品材质选型符合招标文件要求，生产工艺可靠、做工精细，经综合评比，按其响应程度，计1-3分； 4、对所投产品设计方案、效果图、颜色搭配等综合评比，按其响应程度综合评比，计1-2分。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自行编制，格式不限.docx</w:t>
            </w:r>
          </w:p>
          <w:p>
            <w:pPr>
              <w:pStyle w:val="null3"/>
            </w:pPr>
            <w:r>
              <w:rPr>
                <w:rFonts w:ascii="仿宋_GB2312" w:hAnsi="仿宋_GB2312" w:cs="仿宋_GB2312" w:eastAsia="仿宋_GB2312"/>
              </w:rPr>
              <w:t>技术要求响应表.docx</w:t>
            </w:r>
          </w:p>
        </w:tc>
      </w:tr>
      <w:tr>
        <w:tc>
          <w:tcPr>
            <w:tcW w:type="dxa" w:w="831"/>
            <w:vMerge/>
          </w:tcPr>
          <w:p/>
        </w:tc>
        <w:tc>
          <w:tcPr>
            <w:tcW w:type="dxa" w:w="1661"/>
          </w:tcPr>
          <w:p>
            <w:pPr>
              <w:pStyle w:val="null3"/>
            </w:pPr>
            <w:r>
              <w:rPr>
                <w:rFonts w:ascii="仿宋_GB2312" w:hAnsi="仿宋_GB2312" w:cs="仿宋_GB2312" w:eastAsia="仿宋_GB2312"/>
              </w:rPr>
              <w:t>生产能力</w:t>
            </w:r>
          </w:p>
        </w:tc>
        <w:tc>
          <w:tcPr>
            <w:tcW w:type="dxa" w:w="2492"/>
          </w:tcPr>
          <w:p>
            <w:pPr>
              <w:pStyle w:val="null3"/>
            </w:pPr>
            <w:r>
              <w:rPr>
                <w:rFonts w:ascii="仿宋_GB2312" w:hAnsi="仿宋_GB2312" w:cs="仿宋_GB2312" w:eastAsia="仿宋_GB2312"/>
              </w:rPr>
              <w:t>投标人或所投产品制造商提供企业生产设备实物照片，包括：板材切割机、弯管机、焊接设备、表面抛丸设备、喷涂设备、除尘设备，每提供一项得1分，最多得6分。 注：需提供设备照片、购置发票等相关证明材料，并加盖公章。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自行编制，格式不限.docx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提供2022年以来类似项目业绩，每提供一份得 1分，满分2分。（ 备注：提供有甲乙双方公章的合同复印件并加盖投标供应商公章，时间以签订时间为准）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业绩表.docx</w:t>
            </w:r>
          </w:p>
        </w:tc>
      </w:tr>
      <w:tr>
        <w:tc>
          <w:tcPr>
            <w:tcW w:type="dxa" w:w="831"/>
            <w:vMerge/>
          </w:tcPr>
          <w:p/>
        </w:tc>
        <w:tc>
          <w:tcPr>
            <w:tcW w:type="dxa" w:w="1661"/>
          </w:tcPr>
          <w:p>
            <w:pPr>
              <w:pStyle w:val="null3"/>
            </w:pPr>
            <w:r>
              <w:rPr>
                <w:rFonts w:ascii="仿宋_GB2312" w:hAnsi="仿宋_GB2312" w:cs="仿宋_GB2312" w:eastAsia="仿宋_GB2312"/>
              </w:rPr>
              <w:t>人员能力</w:t>
            </w:r>
          </w:p>
        </w:tc>
        <w:tc>
          <w:tcPr>
            <w:tcW w:type="dxa" w:w="2492"/>
          </w:tcPr>
          <w:p>
            <w:pPr>
              <w:pStyle w:val="null3"/>
            </w:pPr>
            <w:r>
              <w:rPr>
                <w:rFonts w:ascii="仿宋_GB2312" w:hAnsi="仿宋_GB2312" w:cs="仿宋_GB2312" w:eastAsia="仿宋_GB2312"/>
              </w:rPr>
              <w:t>供应商是否具有充足专业技术人员保障本项目各个环节的全方位服务，人员数量和人员专业结构配备合理（需提供详细人员名单、联系方式、相关证书等），人员分工明确，职责清晰、任务具体，经综合评比，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自行编制，格式不限.docx</w:t>
            </w:r>
          </w:p>
        </w:tc>
      </w:tr>
      <w:tr>
        <w:tc>
          <w:tcPr>
            <w:tcW w:type="dxa" w:w="831"/>
            <w:vMerge/>
          </w:tcPr>
          <w:p/>
        </w:tc>
        <w:tc>
          <w:tcPr>
            <w:tcW w:type="dxa" w:w="1661"/>
          </w:tcPr>
          <w:p>
            <w:pPr>
              <w:pStyle w:val="null3"/>
            </w:pPr>
            <w:r>
              <w:rPr>
                <w:rFonts w:ascii="仿宋_GB2312" w:hAnsi="仿宋_GB2312" w:cs="仿宋_GB2312" w:eastAsia="仿宋_GB2312"/>
              </w:rPr>
              <w:t>环保产品</w:t>
            </w:r>
          </w:p>
        </w:tc>
        <w:tc>
          <w:tcPr>
            <w:tcW w:type="dxa" w:w="2492"/>
          </w:tcPr>
          <w:p>
            <w:pPr>
              <w:pStyle w:val="null3"/>
            </w:pPr>
            <w:r>
              <w:rPr>
                <w:rFonts w:ascii="仿宋_GB2312" w:hAnsi="仿宋_GB2312" w:cs="仿宋_GB2312" w:eastAsia="仿宋_GB2312"/>
              </w:rPr>
              <w:t>投标人具有有效期内的中国环境标志产品认证证书（金属家具）得2.5分； 投标人具有有效期内的中国环境标志产品认证证书（钢木家具）得2.5分； 提供有效期内证书复印件，并提供全国认证认可信息公共服务平台查询结果截图。 注：复印件和截图加盖公章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自行编制，格式不限.docx</w:t>
            </w:r>
          </w:p>
          <w:p>
            <w:pPr>
              <w:pStyle w:val="null3"/>
            </w:pPr>
            <w:r>
              <w:rPr>
                <w:rFonts w:ascii="仿宋_GB2312" w:hAnsi="仿宋_GB2312" w:cs="仿宋_GB2312" w:eastAsia="仿宋_GB2312"/>
              </w:rPr>
              <w:t>技术要求响应表.docx</w:t>
            </w:r>
          </w:p>
        </w:tc>
      </w:tr>
      <w:tr>
        <w:tc>
          <w:tcPr>
            <w:tcW w:type="dxa" w:w="831"/>
            <w:vMerge/>
          </w:tcPr>
          <w:p/>
        </w:tc>
        <w:tc>
          <w:tcPr>
            <w:tcW w:type="dxa" w:w="1661"/>
          </w:tcPr>
          <w:p>
            <w:pPr>
              <w:pStyle w:val="null3"/>
            </w:pPr>
            <w:r>
              <w:rPr>
                <w:rFonts w:ascii="仿宋_GB2312" w:hAnsi="仿宋_GB2312" w:cs="仿宋_GB2312" w:eastAsia="仿宋_GB2312"/>
              </w:rPr>
              <w:t>检测报告</w:t>
            </w:r>
          </w:p>
        </w:tc>
        <w:tc>
          <w:tcPr>
            <w:tcW w:type="dxa" w:w="2492"/>
          </w:tcPr>
          <w:p>
            <w:pPr>
              <w:pStyle w:val="null3"/>
            </w:pPr>
            <w:r>
              <w:rPr>
                <w:rFonts w:ascii="仿宋_GB2312" w:hAnsi="仿宋_GB2312" w:cs="仿宋_GB2312" w:eastAsia="仿宋_GB2312"/>
              </w:rPr>
              <w:t>提供所投产品或同类产品及原材料相关检测报告，检测结果符合相关国家标准。 提供成品检测报告2分。 提供产品原材料（木质桌面、钢材、塑料、面料、海绵等）检测报告，经综合评比得0-3分。注：加盖公章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自行编制，格式不限.docx</w:t>
            </w:r>
          </w:p>
          <w:p>
            <w:pPr>
              <w:pStyle w:val="null3"/>
            </w:pPr>
            <w:r>
              <w:rPr>
                <w:rFonts w:ascii="仿宋_GB2312" w:hAnsi="仿宋_GB2312" w:cs="仿宋_GB2312" w:eastAsia="仿宋_GB2312"/>
              </w:rPr>
              <w:t>技术要求响应表.docx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根据提供样品安全性、牢固性、可操作性、舒适性及款式、色泽等通过现场演示、感受、评比，综合打分得1-10分。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自行编制，格式不限.docx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1、根据供应商售后服务方案及详细具体可行的售后服务措施承诺、人员配备以及故障处理等内容的响应时间、解决故障承诺的时间、质保期限、质保期结束后的维修售后承诺等内容。按其响应程度计0-3分； 2、供应商提供备品备件库存充足有效。负责为采购人培训操作维护人员，并有完整的培训方案，列出详细的培训内容、培训方式等说明。按其响应程度计0-2分。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自行编制，格式不限.docx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满足招标文件要求且投标价格最低的投标报价为评标基准价，其价格分为满分。其它报价得分=评标基准价÷投标报价× 35。 1、超出采购预算价的投标报价为无效报价。 2、评标小组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小组应当将其作为无效投标处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详见附件：法定代表人身份证明、法定代表人授权委托书.docx</w:t>
      </w:r>
    </w:p>
    <w:p>
      <w:pPr>
        <w:pStyle w:val="null3"/>
        <w:ind w:firstLine="960"/>
      </w:pPr>
      <w:r>
        <w:rPr>
          <w:rFonts w:ascii="仿宋_GB2312" w:hAnsi="仿宋_GB2312" w:cs="仿宋_GB2312" w:eastAsia="仿宋_GB2312"/>
        </w:rPr>
        <w:t>详见附件：非联合体投标声明.docx</w:t>
      </w:r>
    </w:p>
    <w:p>
      <w:pPr>
        <w:pStyle w:val="null3"/>
        <w:ind w:firstLine="960"/>
      </w:pPr>
      <w:r>
        <w:rPr>
          <w:rFonts w:ascii="仿宋_GB2312" w:hAnsi="仿宋_GB2312" w:cs="仿宋_GB2312" w:eastAsia="仿宋_GB2312"/>
        </w:rPr>
        <w:t>详见附件：供应商无重大违法记录书面声明函.docx</w:t>
      </w:r>
    </w:p>
    <w:p>
      <w:pPr>
        <w:pStyle w:val="null3"/>
        <w:ind w:firstLine="960"/>
      </w:pPr>
      <w:r>
        <w:rPr>
          <w:rFonts w:ascii="仿宋_GB2312" w:hAnsi="仿宋_GB2312" w:cs="仿宋_GB2312" w:eastAsia="仿宋_GB2312"/>
        </w:rPr>
        <w:t>详见附件：商务响应表.docx</w:t>
      </w:r>
    </w:p>
    <w:p>
      <w:pPr>
        <w:pStyle w:val="null3"/>
        <w:ind w:firstLine="960"/>
      </w:pPr>
      <w:r>
        <w:rPr>
          <w:rFonts w:ascii="仿宋_GB2312" w:hAnsi="仿宋_GB2312" w:cs="仿宋_GB2312" w:eastAsia="仿宋_GB2312"/>
        </w:rPr>
        <w:t>详见附件：书面声明.docx</w:t>
      </w:r>
    </w:p>
    <w:p>
      <w:pPr>
        <w:pStyle w:val="null3"/>
        <w:ind w:firstLine="960"/>
      </w:pPr>
      <w:r>
        <w:rPr>
          <w:rFonts w:ascii="仿宋_GB2312" w:hAnsi="仿宋_GB2312" w:cs="仿宋_GB2312" w:eastAsia="仿宋_GB2312"/>
        </w:rPr>
        <w:t>详见附件：业绩表.docx</w:t>
      </w:r>
    </w:p>
    <w:p>
      <w:pPr>
        <w:pStyle w:val="null3"/>
        <w:ind w:firstLine="960"/>
      </w:pPr>
      <w:r>
        <w:rPr>
          <w:rFonts w:ascii="仿宋_GB2312" w:hAnsi="仿宋_GB2312" w:cs="仿宋_GB2312" w:eastAsia="仿宋_GB2312"/>
        </w:rPr>
        <w:t>详见附件：自行编制，格式不限.docx</w:t>
      </w:r>
    </w:p>
    <w:p>
      <w:pPr>
        <w:pStyle w:val="null3"/>
        <w:ind w:firstLine="960"/>
      </w:pPr>
      <w:r>
        <w:rPr>
          <w:rFonts w:ascii="仿宋_GB2312" w:hAnsi="仿宋_GB2312" w:cs="仿宋_GB2312" w:eastAsia="仿宋_GB2312"/>
        </w:rPr>
        <w:t>详见附件：技术要求响应表.docx</w:t>
      </w:r>
    </w:p>
    <w:p>
      <w:pPr>
        <w:pStyle w:val="null3"/>
        <w:ind w:firstLine="960"/>
      </w:pPr>
      <w:r>
        <w:rPr>
          <w:rFonts w:ascii="仿宋_GB2312" w:hAnsi="仿宋_GB2312" w:cs="仿宋_GB2312" w:eastAsia="仿宋_GB2312"/>
        </w:rPr>
        <w:t>详见附件：供应商信用记录书面声明函.docx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