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版本号：JJX-2025-01920250724002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委托第三方在渭南市开展节能监察及节能审查事中事后监管中进行技术服务项目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JJX-2025-019</w:t>
      </w:r>
      <w:r>
        <w:br/>
      </w:r>
      <w:r>
        <w:br/>
      </w:r>
      <w:r>
        <w:br/>
      </w:r>
    </w:p>
    <w:p>
      <w:pPr>
        <w:pStyle w:val="null3"/>
        <w:jc w:val="center"/>
        <w:outlineLvl w:val="2"/>
      </w:pPr>
      <w:r>
        <w:rPr>
          <w:rFonts w:ascii="仿宋_GB2312" w:hAnsi="仿宋_GB2312" w:cs="仿宋_GB2312" w:eastAsia="仿宋_GB2312"/>
          <w:sz w:val="28"/>
          <w:b/>
        </w:rPr>
        <w:t>渭南市发展和改革委员会</w:t>
      </w:r>
    </w:p>
    <w:p>
      <w:pPr>
        <w:pStyle w:val="null3"/>
        <w:jc w:val="center"/>
        <w:outlineLvl w:val="2"/>
      </w:pPr>
      <w:r>
        <w:rPr>
          <w:rFonts w:ascii="仿宋_GB2312" w:hAnsi="仿宋_GB2312" w:cs="仿宋_GB2312" w:eastAsia="仿宋_GB2312"/>
          <w:sz w:val="28"/>
          <w:b/>
        </w:rPr>
        <w:t>陕西金吉翔项目管理有限公司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陕西金吉翔项目管理有限公司</w:t>
      </w:r>
      <w:r>
        <w:rPr>
          <w:rFonts w:ascii="仿宋_GB2312" w:hAnsi="仿宋_GB2312" w:cs="仿宋_GB2312" w:eastAsia="仿宋_GB2312"/>
        </w:rPr>
        <w:t>（以下简称“代理机构”）受</w:t>
      </w:r>
      <w:r>
        <w:rPr>
          <w:rFonts w:ascii="仿宋_GB2312" w:hAnsi="仿宋_GB2312" w:cs="仿宋_GB2312" w:eastAsia="仿宋_GB2312"/>
        </w:rPr>
        <w:t>渭南市发展和改革委员会</w:t>
      </w:r>
      <w:r>
        <w:rPr>
          <w:rFonts w:ascii="仿宋_GB2312" w:hAnsi="仿宋_GB2312" w:cs="仿宋_GB2312" w:eastAsia="仿宋_GB2312"/>
        </w:rPr>
        <w:t>委托，拟对</w:t>
      </w:r>
      <w:r>
        <w:rPr>
          <w:rFonts w:ascii="仿宋_GB2312" w:hAnsi="仿宋_GB2312" w:cs="仿宋_GB2312" w:eastAsia="仿宋_GB2312"/>
        </w:rPr>
        <w:t>委托第三方在渭南市开展节能监察及节能审查事中事后监管中进行技术服务项目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JJX-2025-019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委托第三方在渭南市开展节能监察及节能审查事中事后监管中进行技术服务项目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对重点用能单位开展节能监察、对“十四五”期间已获得节能审查批复文件的项目开展事中事后监管。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1、法人证明或法人授权委托书：提供法定代表人授权委托书（附法定代表人、被授权人身份证复印件）及被授权人身份证原件（法定代表人直接参加投标，须提供法定代表人身份证明及身份证原件）。</w:t>
      </w:r>
    </w:p>
    <w:p>
      <w:pPr>
        <w:pStyle w:val="null3"/>
      </w:pPr>
      <w:r>
        <w:rPr>
          <w:rFonts w:ascii="仿宋_GB2312" w:hAnsi="仿宋_GB2312" w:cs="仿宋_GB2312" w:eastAsia="仿宋_GB2312"/>
        </w:rPr>
        <w:t>2、信用中国网、中国执行公开网和中国政府采购网查询情况：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pPr>
        <w:pStyle w:val="null3"/>
      </w:pPr>
      <w:r>
        <w:rPr>
          <w:rFonts w:ascii="仿宋_GB2312" w:hAnsi="仿宋_GB2312" w:cs="仿宋_GB2312" w:eastAsia="仿宋_GB2312"/>
        </w:rPr>
        <w:t>3、项目负责人：拟派项目负责人须具备环境工程相关专业高级职称。</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渭南市发展和改革委员会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渭南市车雷大街69号市民服务中心12楼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高攀峰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0913-2930917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渭南市临渭区三贤路与玉德路十字西北角豪庭佳苑大门东临商铺4层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0913-2669977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国家发展和改革委员会办公厅关于招标代理服务收费有关问题的通知》（发改办价格〔2003〕857号）的规定标准，一次性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渭南市发展和改革委员会</w:t>
      </w:r>
      <w:r>
        <w:rPr>
          <w:rFonts w:ascii="仿宋_GB2312" w:hAnsi="仿宋_GB2312" w:cs="仿宋_GB2312" w:eastAsia="仿宋_GB2312"/>
        </w:rPr>
        <w:t>和</w:t>
      </w:r>
      <w:r>
        <w:rPr>
          <w:rFonts w:ascii="仿宋_GB2312" w:hAnsi="仿宋_GB2312" w:cs="仿宋_GB2312" w:eastAsia="仿宋_GB2312"/>
        </w:rPr>
        <w:t>陕西金吉翔项目管理有限公司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渭南市发展和改革委员会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渭南市发展和改革委员会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达到国家现行标准要求。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联系人：郭晨</w:t>
      </w:r>
    </w:p>
    <w:p>
      <w:pPr>
        <w:pStyle w:val="null3"/>
      </w:pPr>
      <w:r>
        <w:rPr>
          <w:rFonts w:ascii="仿宋_GB2312" w:hAnsi="仿宋_GB2312" w:cs="仿宋_GB2312" w:eastAsia="仿宋_GB2312"/>
        </w:rPr>
        <w:t>联系电话：0913-2669977</w:t>
      </w:r>
    </w:p>
    <w:p>
      <w:pPr>
        <w:pStyle w:val="null3"/>
      </w:pPr>
      <w:r>
        <w:rPr>
          <w:rFonts w:ascii="仿宋_GB2312" w:hAnsi="仿宋_GB2312" w:cs="仿宋_GB2312" w:eastAsia="仿宋_GB2312"/>
        </w:rPr>
        <w:t>地址：渭南市临渭区三贤路与玉德路十字西北角豪庭佳苑大门东临商铺4层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对重点用能单位开展节能监察、对“十四五”期间已获得节能审查批复文件的项目开展事中事后监管。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975,000.00</w:t>
      </w:r>
    </w:p>
    <w:p>
      <w:pPr>
        <w:pStyle w:val="null3"/>
      </w:pPr>
      <w:r>
        <w:rPr>
          <w:rFonts w:ascii="仿宋_GB2312" w:hAnsi="仿宋_GB2312" w:cs="仿宋_GB2312" w:eastAsia="仿宋_GB2312"/>
        </w:rPr>
        <w:t>采购包最高限价（元）: 975,000.00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渭南市开展节能监察及节能审查事中事后监管中进行技术服务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标的名称：渭南市开展节能监察及节能审查事中事后监管中进行技术服务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重点用能单位节能监察：</w:t>
            </w:r>
          </w:p>
          <w:p>
            <w:pPr>
              <w:pStyle w:val="null3"/>
              <w:jc w:val="both"/>
            </w:pPr>
            <w:r>
              <w:rPr>
                <w:rFonts w:ascii="仿宋_GB2312" w:hAnsi="仿宋_GB2312" w:cs="仿宋_GB2312" w:eastAsia="仿宋_GB2312"/>
                <w:sz w:val="28"/>
              </w:rPr>
              <w:t>核查企业单位产品能耗限额标准、强制性节能标准等执行情况，审查节能目标责任制、节能计划的建立与落实，评估节能管理和技术措施实施成效；检查项目节能评估和审查制度执行状况、能耗在线监测系统填报情况；监督企业对落后用能产品、设备及生产工艺淘汰制度的落实，杜绝使用国家明令淘汰的用能设备；审查能源统计、能源利用状况分析和报告制度执行，保障数据真实、完整、及时；核实能源管理岗位设置、能源管理负责人聘任情况；</w:t>
            </w:r>
          </w:p>
          <w:p>
            <w:pPr>
              <w:pStyle w:val="null3"/>
              <w:jc w:val="both"/>
            </w:pPr>
            <w:r>
              <w:rPr>
                <w:rFonts w:ascii="仿宋_GB2312" w:hAnsi="仿宋_GB2312" w:cs="仿宋_GB2312" w:eastAsia="仿宋_GB2312"/>
                <w:sz w:val="28"/>
              </w:rPr>
              <w:t>对</w:t>
            </w:r>
            <w:r>
              <w:rPr>
                <w:rFonts w:ascii="仿宋_GB2312" w:hAnsi="仿宋_GB2312" w:cs="仿宋_GB2312" w:eastAsia="仿宋_GB2312"/>
                <w:sz w:val="28"/>
              </w:rPr>
              <w:t>“十四五”期间已获得节能审查批复文件的项目开展事中事后监管：主要重点监察项目建设方案、节能技术措施、节能管理措施、能效水平、能源消费总量、煤耗、能耗平衡方案等具体落实情况。</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满足采购文件采购内容要求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合同签订后100天内完成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 1、合同文本、合同附件、竞争性磋商文件、磋商响应文件。 2、国内相应的标准、规范。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合同执行中发生争议的，当事人双方应协商解决，协商达不成一致时，可选择仲裁解决合同争议。</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成交供应商在成交结果发布后3个工作日内向采购代理机构提供经编标工具生成导出的响应文件纸质版三套，确保与线上电子版文件内容一致。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财务报告（至少包括资产负债表和利润表，成立时间至提交磋商响应文件时间截止时间不足一年的可提供成立后任意时间段的资产负债表）或磋商前六个月内其基本账户银行出具的资信证明或信用担保机构出具的磋商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供应商基本情况</w:t>
            </w:r>
          </w:p>
        </w:tc>
        <w:tc>
          <w:tcPr>
            <w:tcW w:type="dxa" w:w="3322"/>
          </w:tcPr>
          <w:p>
            <w:pPr>
              <w:pStyle w:val="null3"/>
            </w:pPr>
            <w:r>
              <w:rPr>
                <w:rFonts w:ascii="仿宋_GB2312" w:hAnsi="仿宋_GB2312" w:cs="仿宋_GB2312" w:eastAsia="仿宋_GB2312"/>
              </w:rPr>
              <w:t>供应商应具备独立承担民事责任的能力：提供法人或者其他组织的营业执照等证明文件，自然人的身份证明。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合同履约能力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税收及社会保障资金缴纳证明</w:t>
            </w:r>
          </w:p>
        </w:tc>
        <w:tc>
          <w:tcPr>
            <w:tcW w:type="dxa" w:w="3322"/>
          </w:tcPr>
          <w:p>
            <w:pPr>
              <w:pStyle w:val="null3"/>
            </w:pPr>
            <w:r>
              <w:rPr>
                <w:rFonts w:ascii="仿宋_GB2312" w:hAnsi="仿宋_GB2312" w:cs="仿宋_GB2312" w:eastAsia="仿宋_GB2312"/>
              </w:rPr>
              <w:t>提供近六个月内任意一个月依法缴纳税收和社会保障资金的相关材料。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法人证明或法人授权委托书</w:t>
            </w:r>
          </w:p>
        </w:tc>
        <w:tc>
          <w:tcPr>
            <w:tcW w:type="dxa" w:w="3322"/>
          </w:tcPr>
          <w:p>
            <w:pPr>
              <w:pStyle w:val="null3"/>
            </w:pPr>
            <w:r>
              <w:rPr>
                <w:rFonts w:ascii="仿宋_GB2312" w:hAnsi="仿宋_GB2312" w:cs="仿宋_GB2312" w:eastAsia="仿宋_GB2312"/>
              </w:rPr>
              <w:t>提供法定代表人授权委托书（附法定代表人、被授权人身份证复印件）及被授权人身份证原件（法定代表人直接参加投标，须提供法定代表人身份证明及身份证原件）。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信用中国网、中国执行公开网和中国政府采购网查询情况</w:t>
            </w:r>
          </w:p>
        </w:tc>
        <w:tc>
          <w:tcPr>
            <w:tcW w:type="dxa" w:w="3322"/>
          </w:tcPr>
          <w:p>
            <w:pPr>
              <w:pStyle w:val="null3"/>
            </w:pPr>
            <w:r>
              <w:rPr>
                <w:rFonts w:ascii="仿宋_GB2312" w:hAnsi="仿宋_GB2312" w:cs="仿宋_GB2312" w:eastAsia="仿宋_GB2312"/>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拟派项目负责人须具备环境工程相关专业高级职称。</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唯一报价，并未超出预算金额</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符合磋商文件规定签署盖章要求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自磋商响应文件递交截止之日起90日历天</w:t>
            </w:r>
          </w:p>
        </w:tc>
        <w:tc>
          <w:tcPr>
            <w:tcW w:type="dxa" w:w="1661"/>
          </w:tcPr>
          <w:p>
            <w:pPr>
              <w:pStyle w:val="null3"/>
            </w:pPr>
            <w:r>
              <w:rPr>
                <w:rFonts w:ascii="仿宋_GB2312" w:hAnsi="仿宋_GB2312" w:cs="仿宋_GB2312" w:eastAsia="仿宋_GB2312"/>
              </w:rPr>
              <w:t>响应文件封面 商务要求响应表.docx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合同签订后100天内完成</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投标内容的完整性</w:t>
            </w:r>
          </w:p>
        </w:tc>
        <w:tc>
          <w:tcPr>
            <w:tcW w:type="dxa" w:w="3322"/>
          </w:tcPr>
          <w:p>
            <w:pPr>
              <w:pStyle w:val="null3"/>
            </w:pPr>
            <w:r>
              <w:rPr>
                <w:rFonts w:ascii="仿宋_GB2312" w:hAnsi="仿宋_GB2312" w:cs="仿宋_GB2312" w:eastAsia="仿宋_GB2312"/>
              </w:rPr>
              <w:t>投标内容未出现漏项或服务与要求不符</w:t>
            </w:r>
          </w:p>
        </w:tc>
        <w:tc>
          <w:tcPr>
            <w:tcW w:type="dxa" w:w="1661"/>
          </w:tcPr>
          <w:p>
            <w:pPr>
              <w:pStyle w:val="null3"/>
            </w:pPr>
            <w:r>
              <w:rPr>
                <w:rFonts w:ascii="仿宋_GB2312" w:hAnsi="仿宋_GB2312" w:cs="仿宋_GB2312" w:eastAsia="仿宋_GB2312"/>
              </w:rPr>
              <w:t>响应文件封面 商务要求响应表.docx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商务要求响应表.docx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根据供应商针对本项目提供的服务质量保障措施进行赋分，完全满足项目实际需求得10分，基本满足但完整性和可操作性欠缺得6分，内容欠缺，较难实施、不满足项目需求或非专门针对本项目、不适用本项目特性、套用其他项目内容，不利于采购目标的实现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廉洁从业及保密措施</w:t>
            </w:r>
          </w:p>
        </w:tc>
        <w:tc>
          <w:tcPr>
            <w:tcW w:type="dxa" w:w="2492"/>
          </w:tcPr>
          <w:p>
            <w:pPr>
              <w:pStyle w:val="null3"/>
            </w:pPr>
            <w:r>
              <w:rPr>
                <w:rFonts w:ascii="仿宋_GB2312" w:hAnsi="仿宋_GB2312" w:cs="仿宋_GB2312" w:eastAsia="仿宋_GB2312"/>
              </w:rPr>
              <w:t>根据供应商针对本项目提供的廉洁从业及保密措施进行赋分，完全满足项目实际需求得10分，基本满足但完整性和可操作性欠缺得6分，内容欠缺，较难实施、不满足项目需求或非专门针对本项目、不适用本项目特性、套用其他项目内容，不利于采购目标的实现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后期服务配合计划</w:t>
            </w:r>
          </w:p>
        </w:tc>
        <w:tc>
          <w:tcPr>
            <w:tcW w:type="dxa" w:w="2492"/>
          </w:tcPr>
          <w:p>
            <w:pPr>
              <w:pStyle w:val="null3"/>
            </w:pPr>
            <w:r>
              <w:rPr>
                <w:rFonts w:ascii="仿宋_GB2312" w:hAnsi="仿宋_GB2312" w:cs="仿宋_GB2312" w:eastAsia="仿宋_GB2312"/>
              </w:rPr>
              <w:t>根据供应商针对本项目提供的后期服务配合计划进行赋分，完全满足项目实际需求得10分，基本满足但完整性和可操作性欠缺得6分，内容欠缺，较难实施、不满足项目需求或非专门针对本项目、不适用本项目特性、套用其他项目内容，不利于采购目标的实现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供应商提供自2022年7月至今（以签订合同时间为准）的类似合同，需提供合同复印件，每提供一份得2分，最高得10分。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提供的服务方案进行赋分，完全满足项目实际需求得10分，基本满足但完整性和可操作性欠缺得6分，内容欠缺，较难实施、不满足项目需求或非专门针对本项目、不适用本项目特性、套用其他项目内容，不利于采购目标的实现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工作计划安排及保障措施</w:t>
            </w:r>
          </w:p>
        </w:tc>
        <w:tc>
          <w:tcPr>
            <w:tcW w:type="dxa" w:w="2492"/>
          </w:tcPr>
          <w:p>
            <w:pPr>
              <w:pStyle w:val="null3"/>
            </w:pPr>
            <w:r>
              <w:rPr>
                <w:rFonts w:ascii="仿宋_GB2312" w:hAnsi="仿宋_GB2312" w:cs="仿宋_GB2312" w:eastAsia="仿宋_GB2312"/>
              </w:rPr>
              <w:t>根据供应商针对本项目提供的工作计划安排及保障措施进行赋分，完全满足项目实际需求得10分，基本满足但完整性和可操作性欠缺得6分，内容欠缺，较难实施、不满足项目需求或非专门针对本项目、不适用本项目特性、套用其他项目内容，不利于采购目标的实现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服务质量保证承诺</w:t>
            </w:r>
          </w:p>
        </w:tc>
        <w:tc>
          <w:tcPr>
            <w:tcW w:type="dxa" w:w="2492"/>
          </w:tcPr>
          <w:p>
            <w:pPr>
              <w:pStyle w:val="null3"/>
            </w:pPr>
            <w:r>
              <w:rPr>
                <w:rFonts w:ascii="仿宋_GB2312" w:hAnsi="仿宋_GB2312" w:cs="仿宋_GB2312" w:eastAsia="仿宋_GB2312"/>
              </w:rPr>
              <w:t>根据供应商针对本项目提供的服务质量保证承诺进行赋分，完全满足项目实际需求得5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针对本项目提供的有利于本项目实施的合理化建议进行赋分，完全满足项目实际需求得5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拟投入本项目团队人员中（除项目负责人外）具有相关专业中级工程师职称的每提供一人得1分；高级工程师职称的每提供一人得2分，此项评审满分10分。须提供相关证明材料（包括但不限于人员身份证、毕业证书、技术职称证书、磋商前半年内任意一个月社保缴纳证明或劳动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1.满足竞争性磋商文件实质性要求且最终报价最低的供应商的价格为磋商基准价，其价格分为满分20分。 2.磋商报价得分=（磋商基准价/最终磋商报价）×20的公式计算得分。 3.磋商报价不完整的，不进入评标标准价的计算，本项得0分。 4.经磋商小组一致认定，超过预算金额,其响应将被拒绝。</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