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版本号：JJX-2025-02020250722001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全市专业应急救援基地前期费项目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JJX-2025-020</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全市专业应急救援基地前期费项目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JJX-2025-020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全市专业应急救援基地前期费项目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按照要求和时间节点进行策划，出具全市专业应急救援基地建设项目建议书及可行性研究报告。</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采购包1（全市专业应急救援基地前期费项目）：属于专门面向中小企业采购。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 法人授权委 托书：法定代表人资格证明或法定代表人授权委托书原件、授权代表身份证复印件。</w:t>
      </w:r>
    </w:p>
    <w:p>
      <w:pPr>
        <w:pStyle w:val="null3"/>
      </w:pPr>
      <w:r>
        <w:rPr>
          <w:rFonts w:ascii="仿宋_GB2312" w:hAnsi="仿宋_GB2312" w:cs="仿宋_GB2312" w:eastAsia="仿宋_GB2312"/>
        </w:rPr>
        <w:t>2、供应商资质情况：供应商须具备工程咨询单位资信乙级（业务范围含建筑类专业）及以上资信。</w:t>
      </w:r>
    </w:p>
    <w:p>
      <w:pPr>
        <w:pStyle w:val="null3"/>
      </w:pPr>
      <w:r>
        <w:rPr>
          <w:rFonts w:ascii="仿宋_GB2312" w:hAnsi="仿宋_GB2312" w:cs="仿宋_GB2312" w:eastAsia="仿宋_GB2312"/>
        </w:rPr>
        <w:t>3、信用中国网 、中国执行 公开网和中 国政府采购 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渭南市临渭区三贤路与玉德路十字西北角豪庭佳苑商铺4层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尹福瑛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0913-2669977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代理服务费收费标准：参照国家计委印发《招标代理服务收费管理暂行办法》的通知(计价格[2 002]1980号)中相应取费标准计取。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联系人：尹福瑛</w:t>
      </w:r>
    </w:p>
    <w:p>
      <w:pPr>
        <w:pStyle w:val="null3"/>
      </w:pPr>
      <w:r>
        <w:rPr>
          <w:rFonts w:ascii="仿宋_GB2312" w:hAnsi="仿宋_GB2312" w:cs="仿宋_GB2312" w:eastAsia="仿宋_GB2312"/>
        </w:rPr>
        <w:t>联系电话：0913-2669977</w:t>
      </w:r>
    </w:p>
    <w:p>
      <w:pPr>
        <w:pStyle w:val="null3"/>
      </w:pPr>
      <w:r>
        <w:rPr>
          <w:rFonts w:ascii="仿宋_GB2312" w:hAnsi="仿宋_GB2312" w:cs="仿宋_GB2312" w:eastAsia="仿宋_GB2312"/>
        </w:rPr>
        <w:t>地址：渭南市临渭区三贤路与玉德路十字西北角豪庭佳苑商铺4层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按照要求和时间节点进行策划，出具全市专业应急救援基地建设项目建议书及可行性研究报告。</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出具全市专业应急救援基地建设项目建议书及可行性研究报告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标的名称：出具全市专业应急救援基地建设项目建议书及可行性研究报告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一、项目背景</w:t>
            </w:r>
          </w:p>
          <w:p>
            <w:pPr>
              <w:pStyle w:val="null3"/>
              <w:ind w:firstLine="480"/>
              <w:jc w:val="both"/>
            </w:pPr>
            <w:r>
              <w:rPr>
                <w:rFonts w:ascii="仿宋_GB2312" w:hAnsi="仿宋_GB2312" w:cs="仿宋_GB2312" w:eastAsia="仿宋_GB2312"/>
                <w:sz w:val="24"/>
              </w:rPr>
              <w:t>渭南市自然条件复杂，灾害种类多、发生频次高、覆盖面积广，其中</w:t>
            </w:r>
            <w:r>
              <w:rPr>
                <w:rFonts w:ascii="仿宋_GB2312" w:hAnsi="仿宋_GB2312" w:cs="仿宋_GB2312" w:eastAsia="仿宋_GB2312"/>
                <w:sz w:val="24"/>
              </w:rPr>
              <w:t>2024年渭南市共发生自然灾害14次，其中风雹灾害7起、洪涝灾害5起、生物灾害1起、低温冷冻灾害1起，造成10个县（市、区）77个镇（办）163444人次受灾，直接经济损失3.3亿元。2025年以来，全市接报火警290次，核实为火情194起，特别是潼关县“3.23”、华阴市“4.4”、华州区“4.14”森林火情造成较大影响。为贯彻落实党中央、国务院相关部署，依据《中华人民共和国消防法》、《中华人民共和国突发事件应对法》、《中华人民共和国防震减灾法》、《国务院关于印发“十四五”国家应急体系规划的通知》、《陕西省“十四五”应急管理事业发展规划》、《渭南市“十四五”应急管理事业发展规划》等相关要求，通过渭南市专业应急救援基地建设进一步提升救援队伍救援综合能力，满足“全灾种大应急”职能发展和队伍正规化需要，建设以人为本，依法应对，多灾种、全过程、全方位的应急救援基地，完善现代化应急救援体系，有效保障社会稳定和人民群众生命财产安全。为确保科学合理规划、高质量建设，现委托相关咨询机构进行项目建议书及可行性研究报告编制。</w:t>
            </w:r>
          </w:p>
          <w:p>
            <w:pPr>
              <w:pStyle w:val="null3"/>
              <w:ind w:firstLine="482"/>
              <w:jc w:val="both"/>
            </w:pPr>
            <w:r>
              <w:rPr>
                <w:rFonts w:ascii="仿宋_GB2312" w:hAnsi="仿宋_GB2312" w:cs="仿宋_GB2312" w:eastAsia="仿宋_GB2312"/>
                <w:sz w:val="24"/>
                <w:b/>
              </w:rPr>
              <w:t>二、项目目标</w:t>
            </w:r>
          </w:p>
          <w:p>
            <w:pPr>
              <w:pStyle w:val="null3"/>
              <w:ind w:firstLine="480"/>
              <w:jc w:val="both"/>
            </w:pPr>
            <w:r>
              <w:rPr>
                <w:rFonts w:ascii="仿宋_GB2312" w:hAnsi="仿宋_GB2312" w:cs="仿宋_GB2312" w:eastAsia="仿宋_GB2312"/>
                <w:sz w:val="24"/>
              </w:rPr>
              <w:t>组织专家评审通过，报送相关部门审批通过，同时顺利取得立项批复。</w:t>
            </w:r>
          </w:p>
          <w:p>
            <w:pPr>
              <w:pStyle w:val="null3"/>
              <w:numPr>
                <w:ilvl w:val="0"/>
                <w:numId w:val="1"/>
              </w:numPr>
              <w:jc w:val="both"/>
            </w:pPr>
            <w:r>
              <w:rPr>
                <w:rFonts w:ascii="仿宋_GB2312" w:hAnsi="仿宋_GB2312" w:cs="仿宋_GB2312" w:eastAsia="仿宋_GB2312"/>
                <w:sz w:val="24"/>
                <w:b/>
              </w:rPr>
              <w:t xml:space="preserve">  三、项目内容</w:t>
            </w:r>
          </w:p>
          <w:p>
            <w:pPr>
              <w:pStyle w:val="null3"/>
              <w:jc w:val="both"/>
            </w:pPr>
            <w:r>
              <w:rPr>
                <w:rFonts w:ascii="仿宋_GB2312" w:hAnsi="仿宋_GB2312" w:cs="仿宋_GB2312" w:eastAsia="仿宋_GB2312"/>
                <w:sz w:val="24"/>
              </w:rPr>
              <w:t>根据《消防训练基地建设标准》建标</w:t>
            </w:r>
            <w:r>
              <w:rPr>
                <w:rFonts w:ascii="仿宋_GB2312" w:hAnsi="仿宋_GB2312" w:cs="仿宋_GB2312" w:eastAsia="仿宋_GB2312"/>
                <w:sz w:val="24"/>
              </w:rPr>
              <w:t>190-2018等相关规范标准，对项目拟建设地点及周边环境进行调研，分析、论证项目建设的可行性、必要性及项目建设方案。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供应商应组建专业的服务团队，负责对项目实施过程的控制及管理，明确项目负责人及技术人员。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供应商应配置履行服务所需的设施设备，以便提高服务质量及效率。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符合国家现行技术规范和标准合格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交付成果后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合同执行中发生争议的，当事人双方应协商解决，协商达不成一致时，可选择仲裁解决合同争议。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成交供应在公示结束后，需提供系统签章后的响应文件，双面打印三套，封皮加盖单位鲜章，送至招标代理机构。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营业执照等证明文件，自然人的身份证明；2、有依法缴纳税收和社会保障资金的良好记录：提供2025年1月份至今任意一个月依法缴纳税收和社会保障资金的相关材料；3、具备履行合同所必需的设备和专业技术能力的证明材料：提供承诺书；4、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 法人授权委 托书</w:t>
            </w:r>
          </w:p>
        </w:tc>
        <w:tc>
          <w:tcPr>
            <w:tcW w:type="dxa" w:w="3322"/>
          </w:tcPr>
          <w:p>
            <w:pPr>
              <w:pStyle w:val="null3"/>
            </w:pPr>
            <w:r>
              <w:rPr>
                <w:rFonts w:ascii="仿宋_GB2312" w:hAnsi="仿宋_GB2312" w:cs="仿宋_GB2312" w:eastAsia="仿宋_GB2312"/>
              </w:rPr>
              <w:t>法定代表人资格证明或法定代表人授权委托书原件、授权代表身份证复印件。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供应商资质情况</w:t>
            </w:r>
          </w:p>
        </w:tc>
        <w:tc>
          <w:tcPr>
            <w:tcW w:type="dxa" w:w="3322"/>
          </w:tcPr>
          <w:p>
            <w:pPr>
              <w:pStyle w:val="null3"/>
            </w:pPr>
            <w:r>
              <w:rPr>
                <w:rFonts w:ascii="仿宋_GB2312" w:hAnsi="仿宋_GB2312" w:cs="仿宋_GB2312" w:eastAsia="仿宋_GB2312"/>
              </w:rPr>
              <w:t>供应商须具备工程咨询单位资信乙级（业务范围含建筑类专业）及以上资信。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信用中国网 、中国执行 公开网和中 国政府采购 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供应商名称和营业执照、资质证书一致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 分项报价表.docx 供应商应提交的相关资格证明材料.docx 中小企业声明函 标的清单 报价表 响应函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自磋商响应文件递交截止之日起90日历天</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合同签订后一个月内完成</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 接受的附加条件。</w:t>
            </w:r>
          </w:p>
        </w:tc>
        <w:tc>
          <w:tcPr>
            <w:tcW w:type="dxa" w:w="1661"/>
          </w:tcPr>
          <w:p>
            <w:pPr>
              <w:pStyle w:val="null3"/>
            </w:pPr>
            <w:r>
              <w:rPr>
                <w:rFonts w:ascii="仿宋_GB2312" w:hAnsi="仿宋_GB2312" w:cs="仿宋_GB2312" w:eastAsia="仿宋_GB2312"/>
              </w:rPr>
              <w:t>响应文件封面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建议书及可研编制方案的完整性、严谨性、合理性、规范性及支撑依据等方面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工作计划安排及保障措施</w:t>
            </w:r>
          </w:p>
        </w:tc>
        <w:tc>
          <w:tcPr>
            <w:tcW w:type="dxa" w:w="2492"/>
          </w:tcPr>
          <w:p>
            <w:pPr>
              <w:pStyle w:val="null3"/>
            </w:pPr>
            <w:r>
              <w:rPr>
                <w:rFonts w:ascii="仿宋_GB2312" w:hAnsi="仿宋_GB2312" w:cs="仿宋_GB2312" w:eastAsia="仿宋_GB2312"/>
              </w:rPr>
              <w:t>根据供应商针对本项目提供的工作计划安排及保障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供应商针对本项目提供的服务质量保障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廉洁从业及保密措施</w:t>
            </w:r>
          </w:p>
        </w:tc>
        <w:tc>
          <w:tcPr>
            <w:tcW w:type="dxa" w:w="2492"/>
          </w:tcPr>
          <w:p>
            <w:pPr>
              <w:pStyle w:val="null3"/>
            </w:pPr>
            <w:r>
              <w:rPr>
                <w:rFonts w:ascii="仿宋_GB2312" w:hAnsi="仿宋_GB2312" w:cs="仿宋_GB2312" w:eastAsia="仿宋_GB2312"/>
              </w:rPr>
              <w:t>根据供应商针对本项目提供的廉洁从业及保密措施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后期服务配合计划</w:t>
            </w:r>
          </w:p>
        </w:tc>
        <w:tc>
          <w:tcPr>
            <w:tcW w:type="dxa" w:w="2492"/>
          </w:tcPr>
          <w:p>
            <w:pPr>
              <w:pStyle w:val="null3"/>
            </w:pPr>
            <w:r>
              <w:rPr>
                <w:rFonts w:ascii="仿宋_GB2312" w:hAnsi="仿宋_GB2312" w:cs="仿宋_GB2312" w:eastAsia="仿宋_GB2312"/>
              </w:rPr>
              <w:t>根据供应商针对本项目提供的后期服务配合计划进行赋分，完全满足项目实际需求得10分，基本满足但完整性和可操作性欠缺得6分，内容欠缺，较难实施、不满足项目需求或非专门针对本项目、不适用本项目特性、套用其他项目内容，不利于采购目标的实现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服务质量保证承诺</w:t>
            </w:r>
          </w:p>
        </w:tc>
        <w:tc>
          <w:tcPr>
            <w:tcW w:type="dxa" w:w="2492"/>
          </w:tcPr>
          <w:p>
            <w:pPr>
              <w:pStyle w:val="null3"/>
            </w:pPr>
            <w:r>
              <w:rPr>
                <w:rFonts w:ascii="仿宋_GB2312" w:hAnsi="仿宋_GB2312" w:cs="仿宋_GB2312" w:eastAsia="仿宋_GB2312"/>
              </w:rPr>
              <w:t>根据供应商针对本项目提供的服务质量保证承诺进行赋分，完全满足项目实际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供的有利于本项目实施的合理化建议进行赋分，完全满足项目实际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投入本项目团队人员中具有相关专业中级工程师职称的每提供一人得1分；高级工程师职称的每提供一人得2分，此项评审满分10分。须提供相关证明材料（包括但不限于人员身份证、毕业证书、技术职称证书、磋商前半年内任意一个月社保缴纳证明或劳动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供应商提供自2022年7月至今（以签订合同时间为准）的类似合同，需提供合同复印件，每提供一份得2分，最高得10分。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1.满足竞争性磋商文件实质性要求且最终报价最低的供应商的价格为磋商基准价，其价格分为满分20分。 2.磋商报价得分=（磋商基准价/最终磋商报价）×20的公式计算得分。 3.磋商报价不完整的，不进入评标标准价的计算，本项得0分。 4.经磋商小组一致认定，超过预算金额,其响应将被拒绝。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详见附件：人员配置.docx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