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版本号：JJX-2025-02220250723001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渭南市“十五五”绿色低碳可持续发展思路研究报告编制项目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JJX-2025-022</w:t>
      </w:r>
      <w:r>
        <w:br/>
      </w:r>
      <w:r>
        <w:br/>
      </w:r>
      <w:r>
        <w:br/>
      </w:r>
    </w:p>
    <w:p>
      <w:pPr>
        <w:pStyle w:val="null3"/>
        <w:jc w:val="center"/>
        <w:outlineLvl w:val="2"/>
      </w:pPr>
      <w:r>
        <w:rPr>
          <w:rFonts w:ascii="仿宋_GB2312" w:hAnsi="仿宋_GB2312" w:cs="仿宋_GB2312" w:eastAsia="仿宋_GB2312"/>
          <w:sz w:val="28"/>
          <w:b/>
        </w:rPr>
        <w:t>渭南市发展和改革委员会</w:t>
      </w:r>
    </w:p>
    <w:p>
      <w:pPr>
        <w:pStyle w:val="null3"/>
        <w:jc w:val="center"/>
        <w:outlineLvl w:val="2"/>
      </w:pPr>
      <w:r>
        <w:rPr>
          <w:rFonts w:ascii="仿宋_GB2312" w:hAnsi="仿宋_GB2312" w:cs="仿宋_GB2312" w:eastAsia="仿宋_GB2312"/>
          <w:sz w:val="28"/>
          <w:b/>
        </w:rPr>
        <w:t>陕西金吉翔项目管理有限公司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陕西金吉翔项目管理有限公司</w:t>
      </w:r>
      <w:r>
        <w:rPr>
          <w:rFonts w:ascii="仿宋_GB2312" w:hAnsi="仿宋_GB2312" w:cs="仿宋_GB2312" w:eastAsia="仿宋_GB2312"/>
        </w:rPr>
        <w:t>（以下简称“代理机构”）受</w:t>
      </w:r>
      <w:r>
        <w:rPr>
          <w:rFonts w:ascii="仿宋_GB2312" w:hAnsi="仿宋_GB2312" w:cs="仿宋_GB2312" w:eastAsia="仿宋_GB2312"/>
        </w:rPr>
        <w:t>渭南市发展和改革委员会</w:t>
      </w:r>
      <w:r>
        <w:rPr>
          <w:rFonts w:ascii="仿宋_GB2312" w:hAnsi="仿宋_GB2312" w:cs="仿宋_GB2312" w:eastAsia="仿宋_GB2312"/>
        </w:rPr>
        <w:t>委托，拟对</w:t>
      </w:r>
      <w:r>
        <w:rPr>
          <w:rFonts w:ascii="仿宋_GB2312" w:hAnsi="仿宋_GB2312" w:cs="仿宋_GB2312" w:eastAsia="仿宋_GB2312"/>
        </w:rPr>
        <w:t>渭南市“十五五”绿色低碳可持续发展思路研究报告编制项目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JJX-2025-022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渭南市“十五五”绿色低碳可持续发展思路研究报告编制项目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对渭南市当前的能源结构、产业碳排放现状、生态环境质量等进行全面深入调研，收集相关数据并建立数据库。</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1、法人证明或法人授权委托书：提供法定代表人授权委托书（附法定代表人、被授权人身份证复印件）及被授权人身份证原件（法定代表人直接参加投标，须提供法定代表人身份证明及身份证原件）。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2、信用中国网、中国执行公开网和中国政府采购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pPr>
      <w:r>
        <w:rPr>
          <w:rFonts w:ascii="仿宋_GB2312" w:hAnsi="仿宋_GB2312" w:cs="仿宋_GB2312" w:eastAsia="仿宋_GB2312"/>
        </w:rPr>
        <w:t>3、项目负责人：项目负责人具备相关专业高级职称。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渭南市车雷大街69号市民服务中心12楼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高攀峰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0913-2930917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渭南市临渭区三贤路与玉德路十字西北角豪庭佳苑大门东临商铺4层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0913-2669977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国家发展和改革委员会办公厅关于招标代理服务收费有关问题的通知》（发改办价格〔2003〕857号）的规定标准，一次性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渭南市发展和改革委员会</w:t>
      </w:r>
      <w:r>
        <w:rPr>
          <w:rFonts w:ascii="仿宋_GB2312" w:hAnsi="仿宋_GB2312" w:cs="仿宋_GB2312" w:eastAsia="仿宋_GB2312"/>
        </w:rPr>
        <w:t>和</w:t>
      </w:r>
      <w:r>
        <w:rPr>
          <w:rFonts w:ascii="仿宋_GB2312" w:hAnsi="仿宋_GB2312" w:cs="仿宋_GB2312" w:eastAsia="仿宋_GB2312"/>
        </w:rPr>
        <w:t>陕西金吉翔项目管理有限公司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渭南市发展和改革委员会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达到国家相关现行标准要求。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联系人：郭晨</w:t>
      </w:r>
    </w:p>
    <w:p>
      <w:pPr>
        <w:pStyle w:val="null3"/>
      </w:pPr>
      <w:r>
        <w:rPr>
          <w:rFonts w:ascii="仿宋_GB2312" w:hAnsi="仿宋_GB2312" w:cs="仿宋_GB2312" w:eastAsia="仿宋_GB2312"/>
        </w:rPr>
        <w:t>联系电话： 0913-2669977</w:t>
      </w:r>
    </w:p>
    <w:p>
      <w:pPr>
        <w:pStyle w:val="null3"/>
      </w:pPr>
      <w:r>
        <w:rPr>
          <w:rFonts w:ascii="仿宋_GB2312" w:hAnsi="仿宋_GB2312" w:cs="仿宋_GB2312" w:eastAsia="仿宋_GB2312"/>
        </w:rPr>
        <w:t>地址：渭南市临渭区三贤路与玉德路十字西北角豪庭佳苑大门东临商铺4层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对渭南市当前的能源结构、产业碳排放现状、生态环境质量等进行全面深入调研，收集相关数据并建立数据库。</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渭南市“十五五”绿色低碳可持续发展思路研究报告编制项目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标的名称：渭南市“十五五”绿色低碳可持续发展思路研究报告编制项目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一、工作依据</w:t>
            </w:r>
          </w:p>
          <w:p>
            <w:pPr>
              <w:pStyle w:val="null3"/>
              <w:jc w:val="both"/>
            </w:pPr>
            <w:r>
              <w:rPr>
                <w:rFonts w:ascii="仿宋_GB2312" w:hAnsi="仿宋_GB2312" w:cs="仿宋_GB2312" w:eastAsia="仿宋_GB2312"/>
                <w:sz w:val="28"/>
              </w:rPr>
              <w:t>国家政策导向：国家高度重视绿色低碳发展，在</w:t>
            </w:r>
            <w:r>
              <w:rPr>
                <w:rFonts w:ascii="仿宋_GB2312" w:hAnsi="仿宋_GB2312" w:cs="仿宋_GB2312" w:eastAsia="仿宋_GB2312"/>
                <w:sz w:val="28"/>
              </w:rPr>
              <w:t>“双碳”目标的引领下，陆续出台了一系列政策文件，如《关于完整准确全面贯彻新发展理念做好碳达峰碳中和工作的意见》等，为地方开展绿色低碳工作指明了方向。渭南市作为国家生态建设的重要组成部分，有责任和义务积极落实国家政策，通过科学研究为本地绿色低碳发展提供坚实支撑。</w:t>
            </w:r>
          </w:p>
          <w:p>
            <w:pPr>
              <w:pStyle w:val="null3"/>
              <w:jc w:val="both"/>
            </w:pPr>
            <w:r>
              <w:rPr>
                <w:rFonts w:ascii="仿宋_GB2312" w:hAnsi="仿宋_GB2312" w:cs="仿宋_GB2312" w:eastAsia="仿宋_GB2312"/>
                <w:sz w:val="28"/>
              </w:rPr>
              <w:t>地方发展需求：渭南市正处于产业转型升级的关键时期，传统产业面临着节能减排和绿色转型的压力，新兴产业的培育也需要绿色低碳理念的融入。开展</w:t>
            </w:r>
            <w:r>
              <w:rPr>
                <w:rFonts w:ascii="仿宋_GB2312" w:hAnsi="仿宋_GB2312" w:cs="仿宋_GB2312" w:eastAsia="仿宋_GB2312"/>
                <w:sz w:val="28"/>
              </w:rPr>
              <w:t>“十五五”绿色低碳可持续发展思路研究，有助于明晰渭南在未来发展中的优势与挑战，合理规划产业布局，推动经济社会与生态环境协调共进，满足地方可持续发展的迫切需求。二、工作内容</w:t>
            </w:r>
          </w:p>
          <w:p>
            <w:pPr>
              <w:pStyle w:val="null3"/>
              <w:jc w:val="both"/>
            </w:pPr>
            <w:r>
              <w:rPr>
                <w:rFonts w:ascii="仿宋_GB2312" w:hAnsi="仿宋_GB2312" w:cs="仿宋_GB2312" w:eastAsia="仿宋_GB2312"/>
                <w:sz w:val="28"/>
              </w:rPr>
              <w:t>现状调研与评估：对渭南市当前的能源结构、产业碳排放现状、生态环境质量等进行全面深入调研，收集相关数据并建立数据库。同时，评估本市在绿色低碳领域已取得的成果及存在的问题，为后续研究提供基础依据。趋势分析与目标设定：结合国内外绿色低碳发展趋势，预测未来</w:t>
            </w:r>
            <w:r>
              <w:rPr>
                <w:rFonts w:ascii="仿宋_GB2312" w:hAnsi="仿宋_GB2312" w:cs="仿宋_GB2312" w:eastAsia="仿宋_GB2312"/>
                <w:sz w:val="28"/>
              </w:rPr>
              <w:t>“十五五” 期间渭南市可能面临的发展形势。依据国家及省级相关规划要求，科学合理设定本市绿色低碳发展的阶段性目标，包括碳排放强度下降指标、能源消费结构优化目标等。</w:t>
            </w:r>
          </w:p>
          <w:p>
            <w:pPr>
              <w:pStyle w:val="null3"/>
              <w:jc w:val="both"/>
            </w:pPr>
            <w:r>
              <w:rPr>
                <w:rFonts w:ascii="仿宋_GB2312" w:hAnsi="仿宋_GB2312" w:cs="仿宋_GB2312" w:eastAsia="仿宋_GB2312"/>
                <w:sz w:val="28"/>
              </w:rPr>
              <w:t>发展路径与策略研究：从产业绿色升级、能源转型、生态保护与修复、绿色交通与建筑等多个方面，研究适合渭南市的绿色低碳可持续发展路径与策略。提出具体的行动计划和政策建议，确保研究成果具有可操作性。</w:t>
            </w:r>
          </w:p>
          <w:p>
            <w:pPr>
              <w:pStyle w:val="null3"/>
              <w:jc w:val="both"/>
            </w:pPr>
            <w:r>
              <w:rPr>
                <w:rFonts w:ascii="仿宋_GB2312" w:hAnsi="仿宋_GB2312" w:cs="仿宋_GB2312" w:eastAsia="仿宋_GB2312"/>
                <w:sz w:val="28"/>
              </w:rPr>
              <w:t>风险评估与应对措施：对绿色低碳发展过程中可能面临的风险，如技术瓶颈、资金短缺、政策变动等进行评估，并制定相应的应对措施，保障发展思路的顺利实施。</w:t>
            </w:r>
          </w:p>
          <w:p>
            <w:pPr>
              <w:pStyle w:val="null3"/>
              <w:jc w:val="both"/>
            </w:pPr>
            <w:r>
              <w:rPr>
                <w:rFonts w:ascii="仿宋_GB2312" w:hAnsi="仿宋_GB2312" w:cs="仿宋_GB2312" w:eastAsia="仿宋_GB2312"/>
                <w:sz w:val="28"/>
              </w:rPr>
              <w:t>成果报告编制：将研究成果整理形成《渭南市</w:t>
            </w:r>
            <w:r>
              <w:rPr>
                <w:rFonts w:ascii="仿宋_GB2312" w:hAnsi="仿宋_GB2312" w:cs="仿宋_GB2312" w:eastAsia="仿宋_GB2312"/>
                <w:sz w:val="28"/>
              </w:rPr>
              <w:t>“十五五” 绿色低碳可持续发展思路研究报告》，内容涵盖现状分析、目标设定、路径策略、风险应对等，为政府决策提供科学参考。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满足采购文件采购内容要求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合同签订后120天内完成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进行系统验收，由此产生的相关费用由乙方承担）。验收合格后，填写验收单作为对服务的最终认可。 2、乙方向甲方提交服务实施过程中的所有资料，以便甲方日后管理和维护。 3、验收依据： （1）合同文本、合同附件、竞争性磋商文件、磋商响应文件。 （2）国内相应的标准、规范。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合同执行中发生争议的，当事人双方应协商解决，协商达不成一致时，可选择仲裁解决合同争议。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成交供应商在成交结果发布后3个工作日内向采购代理机构提供经编标工具生成导出的响应文件纸质版三套双面打印，确保与线上电子版文件内容一致。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财务报告（至少包括资产负债表和利润表，成立时间至提交磋商响应文件时间截止时间不足一年的可提供成立后任意时间段的资产负债表）或磋商前六个月内其基本账户银行出具的资信证明或信用担保机构出具的磋商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供应商应具备独立承担民事责任的能力：提供法人或者其他组织的营业执照等证明文件，自然人的身份证明。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合同履约能力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税收及社会保障资金缴纳证明</w:t>
            </w:r>
          </w:p>
        </w:tc>
        <w:tc>
          <w:tcPr>
            <w:tcW w:type="dxa" w:w="3322"/>
          </w:tcPr>
          <w:p>
            <w:pPr>
              <w:pStyle w:val="null3"/>
            </w:pPr>
            <w:r>
              <w:rPr>
                <w:rFonts w:ascii="仿宋_GB2312" w:hAnsi="仿宋_GB2312" w:cs="仿宋_GB2312" w:eastAsia="仿宋_GB2312"/>
              </w:rPr>
              <w:t>提供近六个月内任意一个月依法缴纳税收和社会保障资金的相关材料。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法人证明或法人授权委托书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项目负责人具备相关专业高级职称。</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唯一报价，并未超出预算金额</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符合磋商文件规定签署盖章要求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自磋商响应文件递交截止之日起90日历天</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合同签订后120天内完成</w:t>
            </w:r>
          </w:p>
        </w:tc>
        <w:tc>
          <w:tcPr>
            <w:tcW w:type="dxa" w:w="1661"/>
          </w:tcPr>
          <w:p>
            <w:pPr>
              <w:pStyle w:val="null3"/>
            </w:pPr>
            <w:r>
              <w:rPr>
                <w:rFonts w:ascii="仿宋_GB2312" w:hAnsi="仿宋_GB2312" w:cs="仿宋_GB2312" w:eastAsia="仿宋_GB2312"/>
              </w:rPr>
              <w:t>响应文件封面 商务要求响应表.docx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投标内容的完整性</w:t>
            </w:r>
          </w:p>
        </w:tc>
        <w:tc>
          <w:tcPr>
            <w:tcW w:type="dxa" w:w="3322"/>
          </w:tcPr>
          <w:p>
            <w:pPr>
              <w:pStyle w:val="null3"/>
            </w:pPr>
            <w:r>
              <w:rPr>
                <w:rFonts w:ascii="仿宋_GB2312" w:hAnsi="仿宋_GB2312" w:cs="仿宋_GB2312" w:eastAsia="仿宋_GB2312"/>
              </w:rPr>
              <w:t>投标内容未出现漏项或服务与要求不符</w:t>
            </w:r>
          </w:p>
        </w:tc>
        <w:tc>
          <w:tcPr>
            <w:tcW w:type="dxa" w:w="1661"/>
          </w:tcPr>
          <w:p>
            <w:pPr>
              <w:pStyle w:val="null3"/>
            </w:pPr>
            <w:r>
              <w:rPr>
                <w:rFonts w:ascii="仿宋_GB2312" w:hAnsi="仿宋_GB2312" w:cs="仿宋_GB2312" w:eastAsia="仿宋_GB2312"/>
              </w:rPr>
              <w:t>响应文件封面 商务要求响应表.docx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商务要求响应表.docx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提供的服务方案进行赋分，完全满足项目实际需求得10分，基本满足但完整性和可操作性欠缺得6分，内容欠缺，较难实施、不满足项目需求或非专门针对本项目、不适用本项目特性、套用其他项目内容，不利于采购目标的实现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根据供应商针对本项目提供的报告编制的周期保障措施进行赋分，完全满足项目实际需求得10分，基本满足但完整性和可操作性欠缺得6分，内容欠缺，较难实施、不满足项目需求或非专门针对本项目、不适用本项目特性、套用其他项目内容，不利于采购目标的实现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根据供应商针对本项目提供的项目重难点分析进行赋分，完全满足项目实际需求得10分，基本满足但完整性和可操作性欠缺得6分，内容欠缺，较难实施、不满足项目需求或非专门针对本项目、不适用本项目特性、套用其他项目内容，不利于采购目标的实现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廉洁及保密措施</w:t>
            </w:r>
          </w:p>
        </w:tc>
        <w:tc>
          <w:tcPr>
            <w:tcW w:type="dxa" w:w="2492"/>
          </w:tcPr>
          <w:p>
            <w:pPr>
              <w:pStyle w:val="null3"/>
            </w:pPr>
            <w:r>
              <w:rPr>
                <w:rFonts w:ascii="仿宋_GB2312" w:hAnsi="仿宋_GB2312" w:cs="仿宋_GB2312" w:eastAsia="仿宋_GB2312"/>
              </w:rPr>
              <w:t>根据供应商针对本项目提供的廉洁及保密措施进行赋分，完全满足项目实际需求得10分，基本满足但完整性和可操作性欠缺得6分，内容欠缺，较难实施、不满足项目需求或非专门针对本项目、不适用本项目特性、套用其他项目内容，不利于采购目标的实现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后期服务配合计划</w:t>
            </w:r>
          </w:p>
        </w:tc>
        <w:tc>
          <w:tcPr>
            <w:tcW w:type="dxa" w:w="2492"/>
          </w:tcPr>
          <w:p>
            <w:pPr>
              <w:pStyle w:val="null3"/>
            </w:pPr>
            <w:r>
              <w:rPr>
                <w:rFonts w:ascii="仿宋_GB2312" w:hAnsi="仿宋_GB2312" w:cs="仿宋_GB2312" w:eastAsia="仿宋_GB2312"/>
              </w:rPr>
              <w:t>根据供应商针对本项目提供的后期服务配合计划进行赋分，完全满足项目实际需求得10分，基本满足但完整性和可操作性欠缺得6分，内容欠缺，较难实施、不满足项目需求或非专门针对本项目、不适用本项目特性、套用其他项目内容，不利于采购目标的实现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服务质量保证承诺</w:t>
            </w:r>
          </w:p>
        </w:tc>
        <w:tc>
          <w:tcPr>
            <w:tcW w:type="dxa" w:w="2492"/>
          </w:tcPr>
          <w:p>
            <w:pPr>
              <w:pStyle w:val="null3"/>
            </w:pPr>
            <w:r>
              <w:rPr>
                <w:rFonts w:ascii="仿宋_GB2312" w:hAnsi="仿宋_GB2312" w:cs="仿宋_GB2312" w:eastAsia="仿宋_GB2312"/>
              </w:rPr>
              <w:t>根据供应商针对本项目提供的服务质量保证承诺进行赋分，完全满足项目实际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本项目提供的有利于本项目实施的合理化建议进行赋分，完全满足项目实际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拟投入本项目团队人员中（项目负责人除外）具有相关专业中级职称的每提供一人得1分；高级职称的每提供一人得2分，此项评审满分10分。须提供相关证明材料（包括但不限于人员身份证、毕业证书、技术职称证书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供应商提供自2022年7月至今（以签订合同时间为准）的类似合同，需提供合同复印件，每提供一份得2分，最高得10分。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1.满足竞争性磋商文件实质性要求且最终报价最低的供应商的价格为磋商基准价，其价格分为满分20分。 2.磋商报价得分=（磋商基准价/最终磋商报价）×20的公式计算得分。 3.磋商报价不完整的，不进入评标标准价的计算，本项得0分。 4.经磋商小组一致认定，超过预算金额,其响应将被拒绝。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