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版本号：ZCSP-渭南市-2025-0062920250723001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渭南市碳排放达峰形势分析及路径研究项目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ZCSP-渭南市-2025-00629</w:t>
      </w:r>
      <w:r>
        <w:br/>
      </w:r>
      <w:r>
        <w:br/>
      </w:r>
      <w:r>
        <w:br/>
      </w:r>
    </w:p>
    <w:p>
      <w:pPr>
        <w:pStyle w:val="null3"/>
        <w:jc w:val="center"/>
        <w:outlineLvl w:val="2"/>
      </w:pPr>
      <w:r>
        <w:rPr>
          <w:rFonts w:ascii="仿宋_GB2312" w:hAnsi="仿宋_GB2312" w:cs="仿宋_GB2312" w:eastAsia="仿宋_GB2312"/>
          <w:sz w:val="28"/>
          <w:b/>
        </w:rPr>
        <w:t>渭南市发展和改革委员会</w:t>
      </w:r>
    </w:p>
    <w:p>
      <w:pPr>
        <w:pStyle w:val="null3"/>
        <w:jc w:val="center"/>
        <w:outlineLvl w:val="2"/>
      </w:pPr>
      <w:r>
        <w:rPr>
          <w:rFonts w:ascii="仿宋_GB2312" w:hAnsi="仿宋_GB2312" w:cs="仿宋_GB2312" w:eastAsia="仿宋_GB2312"/>
          <w:sz w:val="28"/>
          <w:b/>
        </w:rPr>
        <w:t>陕西新缘易加项目管理有限责任公司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陕西新缘易加项目管理有限责任公司</w:t>
      </w:r>
      <w:r>
        <w:rPr>
          <w:rFonts w:ascii="仿宋_GB2312" w:hAnsi="仿宋_GB2312" w:cs="仿宋_GB2312" w:eastAsia="仿宋_GB2312"/>
        </w:rPr>
        <w:t>（以下简称“代理机构”）受</w:t>
      </w:r>
      <w:r>
        <w:rPr>
          <w:rFonts w:ascii="仿宋_GB2312" w:hAnsi="仿宋_GB2312" w:cs="仿宋_GB2312" w:eastAsia="仿宋_GB2312"/>
        </w:rPr>
        <w:t>渭南市发展和改革委员会</w:t>
      </w:r>
      <w:r>
        <w:rPr>
          <w:rFonts w:ascii="仿宋_GB2312" w:hAnsi="仿宋_GB2312" w:cs="仿宋_GB2312" w:eastAsia="仿宋_GB2312"/>
        </w:rPr>
        <w:t>委托，拟对</w:t>
      </w:r>
      <w:r>
        <w:rPr>
          <w:rFonts w:ascii="仿宋_GB2312" w:hAnsi="仿宋_GB2312" w:cs="仿宋_GB2312" w:eastAsia="仿宋_GB2312"/>
        </w:rPr>
        <w:t>渭南市碳排放达峰形势分析及路径研究项目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ZCSP-渭南市-2025-00629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渭南市碳排放达峰形势分析及路径研究项目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渭南市碳排放达峰形势分析及路径研究项目，详见竞争性磋商文件。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采购包1（渭南市碳排放达峰形势分析及路径研究项目）：属于专门面向中小企业采购。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1、具有独立承担民事责任的能力：具有独立承担民事责任的能力且具备向采购人提供相关服务的企业法人、其他组织,企业法人应提供统一社会信用代码的营业执照；其他组织应提供合法证明文件。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2、供应商授权合法的人员参加投标全过程：法定代表人授权委托书（附法定代表人身份证复印件）及被授权委托人身份证（法定代表人参加磋商只须提供法定代表人身份证）。</w:t>
      </w:r>
    </w:p>
    <w:p>
      <w:pPr>
        <w:pStyle w:val="null3"/>
      </w:pPr>
      <w:r>
        <w:rPr>
          <w:rFonts w:ascii="仿宋_GB2312" w:hAnsi="仿宋_GB2312" w:cs="仿宋_GB2312" w:eastAsia="仿宋_GB2312"/>
        </w:rPr>
        <w:t>3、具有良好的商业信誉和健全的财务会计制度：提供2023年度或2024年度经审计的财务报告或开标前六个月内其基本账户银行出具的资信证明或财政部门认可的政府采购专业担保机构出具的担保函。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4、社会保障资金缴纳证明：提供供应商近一年任意一个月的社会保障资金缴存单据或社保机构开具的社会保险参保缴费情况证明；依法不需要缴纳社会保障资金的应提供相关文件证明。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5、税收缴纳证明：提供供应商近一年已缴纳任意一个月完税凭证或税务机关开具的完税证明（任意税种）；依法免税的应提供相关文件证明。</w:t>
      </w:r>
    </w:p>
    <w:p>
      <w:pPr>
        <w:pStyle w:val="null3"/>
      </w:pPr>
      <w:r>
        <w:rPr>
          <w:rFonts w:ascii="仿宋_GB2312" w:hAnsi="仿宋_GB2312" w:cs="仿宋_GB2312" w:eastAsia="仿宋_GB2312"/>
        </w:rPr>
        <w:t>6、具有履行合同所必需的设备和专业技术能力：提供具有履行合同所必需的设备和专业技术能力的承诺。</w:t>
      </w:r>
    </w:p>
    <w:p>
      <w:pPr>
        <w:pStyle w:val="null3"/>
      </w:pPr>
      <w:r>
        <w:rPr>
          <w:rFonts w:ascii="仿宋_GB2312" w:hAnsi="仿宋_GB2312" w:cs="仿宋_GB2312" w:eastAsia="仿宋_GB2312"/>
        </w:rPr>
        <w:t>7、参加政府采购活动近三年内，在经营活动中没有重大违法记录 ：提供参加政府采购活动近3年内在经营活动中没有重大违法记录的书面声明。</w:t>
      </w:r>
    </w:p>
    <w:p>
      <w:pPr>
        <w:pStyle w:val="null3"/>
      </w:pPr>
      <w:r>
        <w:rPr>
          <w:rFonts w:ascii="仿宋_GB2312" w:hAnsi="仿宋_GB2312" w:cs="仿宋_GB2312" w:eastAsia="仿宋_GB2312"/>
        </w:rPr>
        <w:t>8、信用中国：经查，供应商未被列入“信用中国”网站记录的“失信被执行人”或“重大税收违法案件当事人”名单；不处于“中国政府采购网”记录的“政府采购严重违法失信行为记录名单”中禁止参加政府采购活动期间 。</w:t>
      </w:r>
    </w:p>
    <w:p>
      <w:pPr>
        <w:pStyle w:val="null3"/>
      </w:pPr>
      <w:r>
        <w:rPr>
          <w:rFonts w:ascii="仿宋_GB2312" w:hAnsi="仿宋_GB2312" w:cs="仿宋_GB2312" w:eastAsia="仿宋_GB2312"/>
        </w:rPr>
        <w:t>9、投标承诺：单位负责人为同一人或者存在直接控股、管理关系的不同供应商，不得参加同一合同项下的政府采购活动。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10、磋商保证金：按要求缴纳磋商保证金</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渭南市发展和改革委员会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渭南市车雷大街69号市民服务中心12楼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高攀峰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0913-2930917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陕西新缘易加项目管理有限责任公司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渭南市临渭区招二路南段人文商务楼三楼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19891381909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开户名称：陕西新缘易加项目管理有限责任公司</w:t>
            </w:r>
          </w:p>
          <w:p>
            <w:pPr>
              <w:pStyle w:val="null3"/>
            </w:pPr>
            <w:r>
              <w:rPr>
                <w:rFonts w:ascii="仿宋_GB2312" w:hAnsi="仿宋_GB2312" w:cs="仿宋_GB2312" w:eastAsia="仿宋_GB2312"/>
              </w:rPr>
              <w:t>开户银行：中国建设银行股份有限公司渭南东风街东段支行</w:t>
            </w:r>
          </w:p>
          <w:p>
            <w:pPr>
              <w:pStyle w:val="null3"/>
            </w:pPr>
            <w:r>
              <w:rPr>
                <w:rFonts w:ascii="仿宋_GB2312" w:hAnsi="仿宋_GB2312" w:cs="仿宋_GB2312" w:eastAsia="仿宋_GB2312"/>
              </w:rPr>
              <w:t>银行账号：61050164200000000281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lt;招标代理服务收费管理暂行办法&gt;的通知》（计价格〔2002〕1980号）、《国家发展和改革委员会办公厅关于招标代理服务收费有关问题的通知》（发改办价格〔2003〕857号）的规定标准执行，按差额定率累进法收取费用，100万以下按1.5%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渭南市发展和改革委员会</w:t>
      </w:r>
      <w:r>
        <w:rPr>
          <w:rFonts w:ascii="仿宋_GB2312" w:hAnsi="仿宋_GB2312" w:cs="仿宋_GB2312" w:eastAsia="仿宋_GB2312"/>
        </w:rPr>
        <w:t>和</w:t>
      </w:r>
      <w:r>
        <w:rPr>
          <w:rFonts w:ascii="仿宋_GB2312" w:hAnsi="仿宋_GB2312" w:cs="仿宋_GB2312" w:eastAsia="仿宋_GB2312"/>
        </w:rPr>
        <w:t>陕西新缘易加项目管理有限责任公司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渭南市发展和改革委员会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陕西新缘易加项目管理有限责任公司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渭南市发展和改革委员会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陕西新缘易加项目管理有限责任公司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达到国家现行标准要求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陕西新缘易加项目管理有限责任公司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陕西新缘易加项目管理有限责任公司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陕西新缘易加项目管理有限责任公司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联系人：赵倩</w:t>
      </w:r>
    </w:p>
    <w:p>
      <w:pPr>
        <w:pStyle w:val="null3"/>
      </w:pPr>
      <w:r>
        <w:rPr>
          <w:rFonts w:ascii="仿宋_GB2312" w:hAnsi="仿宋_GB2312" w:cs="仿宋_GB2312" w:eastAsia="仿宋_GB2312"/>
        </w:rPr>
        <w:t>联系电话：19891381909</w:t>
      </w:r>
    </w:p>
    <w:p>
      <w:pPr>
        <w:pStyle w:val="null3"/>
      </w:pPr>
      <w:r>
        <w:rPr>
          <w:rFonts w:ascii="仿宋_GB2312" w:hAnsi="仿宋_GB2312" w:cs="仿宋_GB2312" w:eastAsia="仿宋_GB2312"/>
        </w:rPr>
        <w:t>地址：渭南市临渭区招二路南段人文商务楼三楼</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渭南市碳排放达峰形势分析及路径研究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渭南市碳排放达峰形势分析及路径研究项目采购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标的名称：渭南市碳排放达峰形势分析及路径研究项目采购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项目背景</w:t>
            </w:r>
          </w:p>
          <w:p>
            <w:pPr>
              <w:pStyle w:val="null3"/>
            </w:pPr>
            <w:r>
              <w:rPr>
                <w:rFonts w:ascii="仿宋_GB2312" w:hAnsi="仿宋_GB2312" w:cs="仿宋_GB2312" w:eastAsia="仿宋_GB2312"/>
              </w:rPr>
              <w:t>碳达峰碳中和是党中央统筹国内国际两个大局作出的重大战略部署。我市作为关中地区重要工业城市和能源消费大市，正处于工业化、城镇化快速发展阶段，能源消费和碳排放总量较大，产业结构偏重，低碳转型任务艰巨。实现碳达峰目标面临较大挑战。国家发改委为已安排各省开展</w:t>
            </w:r>
            <w:r>
              <w:rPr>
                <w:rFonts w:ascii="仿宋_GB2312" w:hAnsi="仿宋_GB2312" w:cs="仿宋_GB2312" w:eastAsia="仿宋_GB2312"/>
              </w:rPr>
              <w:t>“十五五”时期省级地区碳排放形势分析，“十五五”期间国家将根据核算结果下达碳排放双控目标任务。科学研判我市碳排放达峰形势，明确达峰路径，制定切实可行的政策措施，亟需开展《渭南市碳排放达峰形势分析及路径研究》工作，为科学明确我市碳达峰目标、优化产业能源结构、推动绿色低碳转型提供关键支撑，对实现高质量发展与“双碳”目标协同推进具有重要意义。</w:t>
            </w:r>
          </w:p>
          <w:p>
            <w:pPr>
              <w:pStyle w:val="null3"/>
            </w:pPr>
            <w:r>
              <w:rPr>
                <w:rFonts w:ascii="仿宋_GB2312" w:hAnsi="仿宋_GB2312" w:cs="仿宋_GB2312" w:eastAsia="仿宋_GB2312"/>
                <w:b/>
              </w:rPr>
              <w:t>工作目标</w:t>
            </w:r>
          </w:p>
          <w:p>
            <w:pPr>
              <w:pStyle w:val="null3"/>
            </w:pPr>
            <w:r>
              <w:rPr>
                <w:rFonts w:ascii="仿宋_GB2312" w:hAnsi="仿宋_GB2312" w:cs="仿宋_GB2312" w:eastAsia="仿宋_GB2312"/>
              </w:rPr>
              <w:t>根据国家和省上有关碳达峰战略部署和要求，立足渭南市发展实际，详实开展数据收集和调研，准确核算分析近年来碳排放特征，科学建立模型预测不同发展情景下碳排放趋势，分析全市碳达峰面临形势。同时，统筹平衡降碳与发展原则，通盘考量发展与减排、整体与局部、当前与长远，以渭南市实际情况和碳排放趋势研判为基础，结合其他省市的先进达峰经验，分领域、分重点行业提出适合渭南市的碳排放达峰路径及政策措施建议，提出确保达峰目标落实的保障措施，为落实</w:t>
            </w:r>
            <w:r>
              <w:rPr>
                <w:rFonts w:ascii="仿宋_GB2312" w:hAnsi="仿宋_GB2312" w:cs="仿宋_GB2312" w:eastAsia="仿宋_GB2312"/>
              </w:rPr>
              <w:t>“双碳”目标要求提供重要支撑。</w:t>
            </w:r>
          </w:p>
          <w:p>
            <w:pPr>
              <w:pStyle w:val="null3"/>
            </w:pPr>
            <w:r>
              <w:rPr>
                <w:rFonts w:ascii="仿宋_GB2312" w:hAnsi="仿宋_GB2312" w:cs="仿宋_GB2312" w:eastAsia="仿宋_GB2312"/>
                <w:b/>
              </w:rPr>
              <w:t>服务内容</w:t>
            </w:r>
          </w:p>
          <w:p>
            <w:pPr>
              <w:pStyle w:val="null3"/>
            </w:pPr>
            <w:r>
              <w:rPr>
                <w:rFonts w:ascii="仿宋_GB2312" w:hAnsi="仿宋_GB2312" w:cs="仿宋_GB2312" w:eastAsia="仿宋_GB2312"/>
              </w:rPr>
              <w:t>1、围绕以下重点任务开展研究：基础调研与现状分析：全面梳理我市能源消费、工业、交通、建筑等领域碳排放历史数据及中长期发展规划，识别重点排放源、驱动因素及减排潜力。</w:t>
            </w:r>
          </w:p>
          <w:p>
            <w:pPr>
              <w:pStyle w:val="null3"/>
            </w:pPr>
            <w:r>
              <w:rPr>
                <w:rFonts w:ascii="仿宋_GB2312" w:hAnsi="仿宋_GB2312" w:cs="仿宋_GB2312" w:eastAsia="仿宋_GB2312"/>
              </w:rPr>
              <w:t>2、峰值预测与情景分析：构建“自上而下”与“自下而上”相结合的碳排放预测模型，研判不同发展情景下的达峰时间、峰值水平及路径可行性。</w:t>
            </w:r>
          </w:p>
          <w:p>
            <w:pPr>
              <w:pStyle w:val="null3"/>
            </w:pPr>
            <w:r>
              <w:rPr>
                <w:rFonts w:ascii="仿宋_GB2312" w:hAnsi="仿宋_GB2312" w:cs="仿宋_GB2312" w:eastAsia="仿宋_GB2312"/>
              </w:rPr>
              <w:t>3、达峰路径与措施设计：结合我市发展定位和资源禀赋，提出能源、工业、交通等重点领域及电力、建材等重点行业的达峰路线图，制定分阶段、分领域的政策措施及保障机制。</w:t>
            </w:r>
          </w:p>
          <w:p>
            <w:pPr>
              <w:pStyle w:val="null3"/>
            </w:pPr>
            <w:r>
              <w:rPr>
                <w:rFonts w:ascii="仿宋_GB2312" w:hAnsi="仿宋_GB2312" w:cs="仿宋_GB2312" w:eastAsia="仿宋_GB2312"/>
              </w:rPr>
              <w:t>4、协同衔接与成果转化：将碳达峰目标与“十四五”规划、能耗“双控”、大气污染防治等政策衔接，形成可操作、可落地的研究报告，为市委、市政府决策提供科学依据。</w:t>
            </w:r>
          </w:p>
          <w:p>
            <w:pPr>
              <w:pStyle w:val="null3"/>
            </w:pPr>
            <w:r>
              <w:rPr>
                <w:rFonts w:ascii="仿宋_GB2312" w:hAnsi="仿宋_GB2312" w:cs="仿宋_GB2312" w:eastAsia="仿宋_GB2312"/>
                <w:b/>
              </w:rPr>
              <w:t>服务要求</w:t>
            </w:r>
          </w:p>
          <w:p>
            <w:pPr>
              <w:pStyle w:val="null3"/>
            </w:pPr>
            <w:r>
              <w:rPr>
                <w:rFonts w:ascii="仿宋_GB2312" w:hAnsi="仿宋_GB2312" w:cs="仿宋_GB2312" w:eastAsia="仿宋_GB2312"/>
              </w:rPr>
              <w:t>1、乙方</w:t>
            </w:r>
            <w:r>
              <w:rPr>
                <w:rFonts w:ascii="仿宋_GB2312" w:hAnsi="仿宋_GB2312" w:cs="仿宋_GB2312" w:eastAsia="仿宋_GB2312"/>
              </w:rPr>
              <w:t>详实开展数据收集和调研</w:t>
            </w:r>
            <w:r>
              <w:rPr>
                <w:rFonts w:ascii="仿宋_GB2312" w:hAnsi="仿宋_GB2312" w:cs="仿宋_GB2312" w:eastAsia="仿宋_GB2312"/>
              </w:rPr>
              <w:t>工作，结合渭南市发展定位和资源禀赋，形成可操作、可落地的研究报告。</w:t>
            </w:r>
          </w:p>
          <w:p>
            <w:pPr>
              <w:pStyle w:val="null3"/>
              <w:jc w:val="both"/>
            </w:pPr>
            <w:r>
              <w:rPr>
                <w:rFonts w:ascii="仿宋_GB2312" w:hAnsi="仿宋_GB2312" w:cs="仿宋_GB2312" w:eastAsia="仿宋_GB2312"/>
                <w:sz w:val="21"/>
              </w:rPr>
              <w:t>2、成果文件符合中省有关碳达峰战略部署及相关文件和要求。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合同签订后90天完成所有内容</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渭南市发展和改革委员会指定地点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符合国家相关法律、法规及行业质量标准和采购人要求，达到合格标准，通过各级项目评审。</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人逾期付款，应就逾期部分向供应商支付按照中国人民银行规定的同期贷款基准利率计算的逾期付款违约金。2、采购人违反合同规定拒绝接收服务的，应当承担由此对供应商造成的损失。3、供应商不能按期完成服务的，每逾期1日，应向采购人赔付合同总价的0.1%作为违约金。4、供应商所交成果资料不符合国家法律法规和合同规定的，采购人有权拒收，并由供应商承担一切费用。 争议解决：双方本着友好合作的态度,对合同履行过程中发生的违约行为进行及时的协商解决,如不能协商解决可向采购人住所地法院起诉。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商务应答表 服务方案 资格证明文件（1）.docx 响应函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具有独立承担民事责任的能力且具备向采购人提供相关服务的企业法人、其他组织,企业法人应提供统一社会信用代码的营业执照；其他组织应提供合法证明文件。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提供2023年度或2024年度经审计的财务报告或开标前六个月内其基本账户银行出具的资信证明或财政部门认可的政府采购专业担保机构出具的担保函。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提供供应商近一年任意一个月的社会保障资金缴存单据或社保机构开具的社会保险参保缴费情况证明；依法不需要缴纳社会保障资金的应提供相关文件证明。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提供供应商近一年已缴纳任意一个月完税凭证或税务机关开具的完税证明（任意税种）；依法免税的应提供相关文件证明。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参加政府采购活动近三年内，在经营活动中没有重大违法记录</w:t>
            </w:r>
          </w:p>
        </w:tc>
        <w:tc>
          <w:tcPr>
            <w:tcW w:type="dxa" w:w="3322"/>
          </w:tcPr>
          <w:p>
            <w:pPr>
              <w:pStyle w:val="null3"/>
            </w:pPr>
            <w:r>
              <w:rPr>
                <w:rFonts w:ascii="仿宋_GB2312" w:hAnsi="仿宋_GB2312" w:cs="仿宋_GB2312" w:eastAsia="仿宋_GB2312"/>
              </w:rPr>
              <w:t>提供参加政府采购活动近3年内在经营活动中没有重大违法记录的书面声明。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经查，供应商未被列入“信用中国”网站记录的“失信被执行人”或“重大税收违法案件当事人”名单；不处于“中国政府采购网”记录的“政府采购严重违法失信行为记录名单”中禁止参加政府采购活动期间 。</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按要求缴纳磋商保证金</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对商务要求完全响应磋商文件要求的得2分。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对项目需求的理解</w:t>
            </w:r>
          </w:p>
        </w:tc>
        <w:tc>
          <w:tcPr>
            <w:tcW w:type="dxa" w:w="2492"/>
          </w:tcPr>
          <w:p>
            <w:pPr>
              <w:pStyle w:val="null3"/>
            </w:pPr>
            <w:r>
              <w:rPr>
                <w:rFonts w:ascii="仿宋_GB2312" w:hAnsi="仿宋_GB2312" w:cs="仿宋_GB2312" w:eastAsia="仿宋_GB2312"/>
              </w:rPr>
              <w:t>根据服务商对本项目政策背景、实施目的及研究要点的理解程度等方面进行评价。 [0-5分]：对项目政策背景理解深刻、全面，对双控政策转变的影响有准确的认识。 [0-3分]：对项目实施目的和意义有准确的认识，对研究的重点工作内容把握准确、到位。</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[0-2分]：项目负责人为省级及以上碳达峰领域专家，且具备高级工程师职称或咨询工程师（投资）证书，得2分。 [0-4分]：项目核心团队人员具有碳达峰领域咨询工作经验，且具备中级及以上工程师职称或咨询工程师（投资）证书，每提供一个证书得1分，满分4分。 [0-4分]：项目团队人员，具备相关专业中级及以上工程师职称证书,每提供一人得0.5分，满分得4分。 注：需提相关人员职称证、毕业证、身份证等证明材料复印件加盖公章。（与所在单位连续三个月缴纳社会保险的证明材料复印件加盖公章。）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根据服务商对渭南市现状特征的把握程度、研究思路的清晰程度、技术路线和方法的科学合理程度进行评价。 [0-13分]：对渭南市经济社会现状、碳排放现状和重点排放行业有一定的了解和分析，能够准确识别渭南市碳达峰的关键领域，提出碳达峰的重点方向。 [0-12分]：提出清晰的研究思路和技术路线，研究方法科学合理且具有权威性，符合项目需求。</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重点难点解决方案</w:t>
            </w:r>
          </w:p>
        </w:tc>
        <w:tc>
          <w:tcPr>
            <w:tcW w:type="dxa" w:w="2492"/>
          </w:tcPr>
          <w:p>
            <w:pPr>
              <w:pStyle w:val="null3"/>
            </w:pPr>
            <w:r>
              <w:rPr>
                <w:rFonts w:ascii="仿宋_GB2312" w:hAnsi="仿宋_GB2312" w:cs="仿宋_GB2312" w:eastAsia="仿宋_GB2312"/>
              </w:rPr>
              <w:t>根据服务商对本项目的重点难点、关键问题的认识及解决措施的合理性等方面进行综合评价。 [0-5分]：能够正确识别本项目重点难点，分析全面透彻。 [0-5分]：针对重点难点和关键问题，提出合理性和可行性强的解决措施。</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工作进度安排</w:t>
            </w:r>
          </w:p>
        </w:tc>
        <w:tc>
          <w:tcPr>
            <w:tcW w:type="dxa" w:w="2492"/>
          </w:tcPr>
          <w:p>
            <w:pPr>
              <w:pStyle w:val="null3"/>
            </w:pPr>
            <w:r>
              <w:rPr>
                <w:rFonts w:ascii="仿宋_GB2312" w:hAnsi="仿宋_GB2312" w:cs="仿宋_GB2312" w:eastAsia="仿宋_GB2312"/>
              </w:rPr>
              <w:t>[2-5分]：工作进度安排措施合理，能够充分保证项目如期完成，有对突发事件的应对措施； [0-2分]：工作进度安排措施普通，不能够充分保证项目如期完成，无对突发事件的应对措施。</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保障措施及服务承诺</w:t>
            </w:r>
          </w:p>
        </w:tc>
        <w:tc>
          <w:tcPr>
            <w:tcW w:type="dxa" w:w="2492"/>
          </w:tcPr>
          <w:p>
            <w:pPr>
              <w:pStyle w:val="null3"/>
            </w:pPr>
            <w:r>
              <w:rPr>
                <w:rFonts w:ascii="仿宋_GB2312" w:hAnsi="仿宋_GB2312" w:cs="仿宋_GB2312" w:eastAsia="仿宋_GB2312"/>
              </w:rPr>
              <w:t>[2-5分]：项目质量保障措施完善，能够根据项目特点提出服务承诺； [0-2分]：项目质量保障措施不完善，未根据项目特点提出服务承诺。</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针对本项目及采购人实际需求提供详细的售后服务方案。具体可行的后期服务承诺及应急预案，根据响应情况综合评审，计0-5分。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提供2021年1月1日以来，承担过省级及以上政府部门委托的碳达峰、应对气候变化、温室气体排放清单项目，每提供1个业绩得1.5分，满分3分。 提供2021年1月1日以来，承担过市级政府部门委托的碳达峰、应对气候变化、温室气体排放清单项目，每提供1个业绩得1分，满分7分。 注：评审时以业绩证明文件（即中标通知书或合同、增值税发票）为计分依据。（外包合同不予认定）</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磋商报价得分=（磋商基准价/最终磋商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详见附件：资格证明文件（1）.docx</w:t>
      </w:r>
    </w:p>
    <w:p>
      <w:pPr>
        <w:pStyle w:val="null3"/>
        <w:ind w:firstLine="960"/>
      </w:pPr>
      <w:r>
        <w:rPr>
          <w:rFonts w:ascii="仿宋_GB2312" w:hAnsi="仿宋_GB2312" w:cs="仿宋_GB2312" w:eastAsia="仿宋_GB2312"/>
        </w:rPr>
        <w:t>详见附件：业绩证明文件.docx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