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版本号：ZCSP-渭南市-2025-0065320250731001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渭南市重点企业周边土壤和地下水环境监测项目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ZCSP-渭南市-2025-00653</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渭南市重点企业周边土壤和地下水环境监测项目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渭南市重点企业周边土壤和地下水环境监测项目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工业企业周边土壤和地下水监测技术指南(试行)》（总站土字〔2024〕73号）要求，本项目依据2025年度更新的渭南市重点企业清单，完成渭南市52家重点企业周边土壤和地下水环境监测工作，掌握重点企业周边土壤和地下水污染状况，并编制成果集成报告。52家企业分布：澄城县（1家）、富平县（6家）、高新区（6家）、华阴市（3家）、华州区（11家）、蒲城县（19家）、潼关县（6家）。包括资料收集、现场踏勘等、监测方案、监测方案审核、周边环境监测、外部质控、质控报告编制、数据整理分析、报告编写、数据上报、成果集成等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具有独立承担民事责任的法人、其他组织或自然人，提供有效的营业执照等相应证明文件，非法人单位参照执行；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或提供投标文件递交截止时间前六个月内的基本账户开户银行出具的资信证明（成立时间至提交投标文件截止时间不足一年的可提供成立后任意时段的资产负债表）；</w:t>
      </w:r>
    </w:p>
    <w:p>
      <w:pPr>
        <w:pStyle w:val="null3"/>
      </w:pPr>
      <w:r>
        <w:rPr>
          <w:rFonts w:ascii="仿宋_GB2312" w:hAnsi="仿宋_GB2312" w:cs="仿宋_GB2312" w:eastAsia="仿宋_GB2312"/>
        </w:rPr>
        <w:t>3、税收缴纳证明：提供2024年5月至投标文件递交截止时间前已缴纳的至少一个月的纳税证明或完税证明，依法免税的应提供相关证明材料；</w:t>
      </w:r>
    </w:p>
    <w:p>
      <w:pPr>
        <w:pStyle w:val="null3"/>
      </w:pPr>
      <w:r>
        <w:rPr>
          <w:rFonts w:ascii="仿宋_GB2312" w:hAnsi="仿宋_GB2312" w:cs="仿宋_GB2312" w:eastAsia="仿宋_GB2312"/>
        </w:rPr>
        <w:t>4、社会保障资金缴纳证明：提供2024年5月至投标文件递交截止时间前已缴纳至少一个月的社会保障资金缴纳凭证/证明，依法不需要缴纳的应提供相关证明材料；</w:t>
      </w:r>
    </w:p>
    <w:p>
      <w:pPr>
        <w:pStyle w:val="null3"/>
      </w:pPr>
      <w:r>
        <w:rPr>
          <w:rFonts w:ascii="仿宋_GB2312" w:hAnsi="仿宋_GB2312" w:cs="仿宋_GB2312" w:eastAsia="仿宋_GB2312"/>
        </w:rPr>
        <w:t>5、供应商资质：供应商须具备主管部门颁发的检验检测机构资质认定证书（有效期内的）；样品需经具有CMA资质的实验室进行检测分析，样品测试指标相关的分析测试方法、检出限以及对应的测试指标评价标准应满足相关测试要求,并出具监测报告；</w:t>
      </w:r>
    </w:p>
    <w:p>
      <w:pPr>
        <w:pStyle w:val="null3"/>
      </w:pPr>
      <w:r>
        <w:rPr>
          <w:rFonts w:ascii="仿宋_GB2312" w:hAnsi="仿宋_GB2312" w:cs="仿宋_GB2312" w:eastAsia="仿宋_GB2312"/>
        </w:rPr>
        <w:t>6、项目负责人：项目负责人具有环境工程或环境监测专业高级及以上职称；</w:t>
      </w:r>
    </w:p>
    <w:p>
      <w:pPr>
        <w:pStyle w:val="null3"/>
      </w:pPr>
      <w:r>
        <w:rPr>
          <w:rFonts w:ascii="仿宋_GB2312" w:hAnsi="仿宋_GB2312" w:cs="仿宋_GB2312" w:eastAsia="仿宋_GB2312"/>
        </w:rPr>
        <w:t>7、书面声明：①提供具有履行合同所必需的设备和专业技术能力书面声明；②参加政府采购活动前三年内，在经营活动中没有重大违法记录书面声明；</w:t>
      </w:r>
    </w:p>
    <w:p>
      <w:pPr>
        <w:pStyle w:val="null3"/>
      </w:pPr>
      <w:r>
        <w:rPr>
          <w:rFonts w:ascii="仿宋_GB2312" w:hAnsi="仿宋_GB2312" w:cs="仿宋_GB2312" w:eastAsia="仿宋_GB2312"/>
        </w:rPr>
        <w:t>8、法定代表人授权委托书：法定代表人授权书及被授权人身份证(法定代表人直接投标的须提供其法人身份证),非法人单位参照执行；</w:t>
      </w:r>
    </w:p>
    <w:p>
      <w:pPr>
        <w:pStyle w:val="null3"/>
      </w:pPr>
      <w:r>
        <w:rPr>
          <w:rFonts w:ascii="仿宋_GB2312" w:hAnsi="仿宋_GB2312" w:cs="仿宋_GB2312" w:eastAsia="仿宋_GB2312"/>
        </w:rPr>
        <w:t>9、查询及使用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10、本项目不接受联合体投标：本项目不接受联合体投标，须提供非联合体声明或承诺。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渭南市朝阳大街市生态环境局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18109251231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供应商中标价为基数，参照《招标代理服务收费管理暂行办法的通知》（计价格【2002】1980号）、《国家发展改革委关于降低部分建设项目收费标准规范收费行为等有关问题的通知》（发改价格【2011】534号、《关于招标代理服务收费有关问题的通知》（发改办价格[2003]857号）有关规定执行计取。具体金额将在中标结果公告中公布。成交供应商在领取《成交通知书》之前，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联系人：李凤</w:t>
      </w:r>
    </w:p>
    <w:p>
      <w:pPr>
        <w:pStyle w:val="null3"/>
      </w:pPr>
      <w:r>
        <w:rPr>
          <w:rFonts w:ascii="仿宋_GB2312" w:hAnsi="仿宋_GB2312" w:cs="仿宋_GB2312" w:eastAsia="仿宋_GB2312"/>
        </w:rPr>
        <w:t>联系电话：18109251231</w:t>
      </w:r>
    </w:p>
    <w:p>
      <w:pPr>
        <w:pStyle w:val="null3"/>
      </w:pPr>
      <w:r>
        <w:rPr>
          <w:rFonts w:ascii="仿宋_GB2312" w:hAnsi="仿宋_GB2312" w:cs="仿宋_GB2312" w:eastAsia="仿宋_GB2312"/>
        </w:rPr>
        <w:t>地址： 陕西省西安市碑林区长安北路南稍门十字东南角大话南门1幢1单元19层11908室</w:t>
      </w:r>
    </w:p>
    <w:p>
      <w:pPr>
        <w:pStyle w:val="null3"/>
      </w:pPr>
      <w:r>
        <w:rPr>
          <w:rFonts w:ascii="仿宋_GB2312" w:hAnsi="仿宋_GB2312" w:cs="仿宋_GB2312" w:eastAsia="仿宋_GB2312"/>
        </w:rPr>
        <w:t>邮编： 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工业企业周边土壤和地下水监测技术指南(试行)》（总站土字〔2024〕73号）要求，本项目依据2025年度更新的渭南市重点企业清单，完成渭南市52家重点企业周边土壤和地下水环境监测工作，掌握重点企业周边土壤和地下水污染状况，并编制成果集成报告。52家企业分布：澄城县（1家）、富平县（6家）、高新区（6家）、华阴市（3家）、华州区（11家）、蒲城县（19家）、潼关县（6家）。包括资料收集、现场踏勘等、监测方案、监测方案审核、周边环境监测、外部质控、质控报告编制、数据整理分析、报告编写、数据上报、成果集成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2,840,000.00</w:t>
      </w:r>
    </w:p>
    <w:p>
      <w:pPr>
        <w:pStyle w:val="null3"/>
      </w:pPr>
      <w:r>
        <w:rPr>
          <w:rFonts w:ascii="仿宋_GB2312" w:hAnsi="仿宋_GB2312" w:cs="仿宋_GB2312" w:eastAsia="仿宋_GB2312"/>
        </w:rPr>
        <w:t>采购包最高限价（元）: 2,840,000.00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渭南市重点企业周边土壤和地下水环境监测项目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标的名称：渭南市重点企业周边土壤和地下水环境监测项目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5"/>
                <w:b/>
              </w:rPr>
              <w:t>一、基本要求</w:t>
            </w:r>
          </w:p>
          <w:p>
            <w:pPr>
              <w:pStyle w:val="null3"/>
              <w:ind w:firstLine="480"/>
              <w:jc w:val="both"/>
            </w:pPr>
            <w:r>
              <w:rPr>
                <w:rFonts w:ascii="仿宋_GB2312" w:hAnsi="仿宋_GB2312" w:cs="仿宋_GB2312" w:eastAsia="仿宋_GB2312"/>
                <w:sz w:val="15"/>
              </w:rPr>
              <w:t>1、功能要求：完成渭南市52家重点企业周边土壤和地下水环境监测工作，掌握重点企业周边土壤和地下水污染状况，并编制成果集成报告。52家企业分布：澄城县（1家）、富平县（6家）、高新区（6家）、华阴市（3家）、华州区（11家）、蒲城县（19家）、潼关县（6家）。</w:t>
            </w:r>
          </w:p>
          <w:p>
            <w:pPr>
              <w:pStyle w:val="null3"/>
              <w:ind w:firstLine="480"/>
              <w:jc w:val="both"/>
            </w:pPr>
            <w:r>
              <w:rPr>
                <w:rFonts w:ascii="仿宋_GB2312" w:hAnsi="仿宋_GB2312" w:cs="仿宋_GB2312" w:eastAsia="仿宋_GB2312"/>
                <w:sz w:val="15"/>
              </w:rPr>
              <w:t>2、采购项目需要落实的政府采购政策：（1）《财政部发展改革委生态环境部市场监管总局关于调整优化节能产品、环境标志产品政府采购执行机制的通知》（财库〔2019〕9号）；（2）《政府采购促进中小企业发展管理办法》（财库〔2020〕46号）；（3）《财政部司法部关于政府采购支持监狱企业发展有关问题的通知》（财库〔2014〕68号）；（4）《三部门联合发布关于促进残疾人就业政府采购政策的通知》（财库〔2017〕141号）；（5）陕西省财政厅关于印发《陕西省中小企业政府采购信用融资办法》（陕财办采〔2018〕23号）；（6）《关于运用政府采购政策支持乡村产业振兴的通知》（财库〔2021〕19号）；（7）《财政部住房和城乡建设部关于政府采购支持绿色建材促进建筑品质提升试点工作的通知》（财库〔2020〕31号）；（8）《陕西省财政厅关于进一步加强政府绿色采购有关问题的通知》（陕财办采〔2021〕29号）；（9）《财政部关于在政府采购活动中落实平等对待内外资企业有关政策的通知》（财库〔2021〕35号）；（10）其他需要落实的政府采购政策。</w:t>
            </w:r>
          </w:p>
          <w:p>
            <w:pPr>
              <w:pStyle w:val="null3"/>
              <w:ind w:firstLine="480"/>
              <w:jc w:val="both"/>
            </w:pPr>
            <w:r>
              <w:rPr>
                <w:rFonts w:ascii="仿宋_GB2312" w:hAnsi="仿宋_GB2312" w:cs="仿宋_GB2312" w:eastAsia="仿宋_GB2312"/>
                <w:sz w:val="15"/>
              </w:rPr>
              <w:t>3、服务期限：自合同签订之日起12个月完成。</w:t>
            </w:r>
          </w:p>
          <w:p>
            <w:pPr>
              <w:pStyle w:val="null3"/>
              <w:ind w:firstLine="480"/>
              <w:jc w:val="both"/>
            </w:pPr>
            <w:r>
              <w:rPr>
                <w:rFonts w:ascii="仿宋_GB2312" w:hAnsi="仿宋_GB2312" w:cs="仿宋_GB2312" w:eastAsia="仿宋_GB2312"/>
                <w:sz w:val="15"/>
              </w:rPr>
              <w:t>4、服务地点：渭南市。</w:t>
            </w:r>
          </w:p>
          <w:p>
            <w:pPr>
              <w:pStyle w:val="null3"/>
              <w:ind w:firstLine="480"/>
              <w:jc w:val="both"/>
            </w:pPr>
            <w:r>
              <w:rPr>
                <w:rFonts w:ascii="仿宋_GB2312" w:hAnsi="仿宋_GB2312" w:cs="仿宋_GB2312" w:eastAsia="仿宋_GB2312"/>
                <w:sz w:val="15"/>
              </w:rPr>
              <w:t>5、是否专门面向中小企业采购：否。</w:t>
            </w:r>
          </w:p>
          <w:p>
            <w:pPr>
              <w:pStyle w:val="null3"/>
              <w:jc w:val="both"/>
            </w:pPr>
            <w:r>
              <w:rPr>
                <w:rFonts w:ascii="仿宋_GB2312" w:hAnsi="仿宋_GB2312" w:cs="仿宋_GB2312" w:eastAsia="仿宋_GB2312"/>
                <w:sz w:val="15"/>
                <w:b/>
              </w:rPr>
              <w:t>二、需执行的国家相关标准、行业标准、地方标准或者其他标准、规范标准</w:t>
            </w:r>
          </w:p>
          <w:p>
            <w:pPr>
              <w:pStyle w:val="null3"/>
              <w:ind w:firstLine="480"/>
              <w:jc w:val="both"/>
            </w:pPr>
            <w:r>
              <w:rPr>
                <w:rFonts w:ascii="仿宋_GB2312" w:hAnsi="仿宋_GB2312" w:cs="仿宋_GB2312" w:eastAsia="仿宋_GB2312"/>
                <w:sz w:val="15"/>
              </w:rPr>
              <w:t>符合国家相关标准或行业标准。包括但不限于《工业企业周边土壤和地下水监测技术指南（试行）》（总站土字〔2024〕73号）要求。</w:t>
            </w:r>
          </w:p>
          <w:p>
            <w:pPr>
              <w:pStyle w:val="null3"/>
              <w:jc w:val="both"/>
            </w:pPr>
            <w:r>
              <w:rPr>
                <w:rFonts w:ascii="仿宋_GB2312" w:hAnsi="仿宋_GB2312" w:cs="仿宋_GB2312" w:eastAsia="仿宋_GB2312"/>
                <w:sz w:val="15"/>
                <w:b/>
              </w:rPr>
              <w:t>三、服务指标的具体要求</w:t>
            </w:r>
          </w:p>
          <w:p>
            <w:pPr>
              <w:pStyle w:val="null3"/>
              <w:ind w:firstLine="480"/>
              <w:jc w:val="both"/>
            </w:pPr>
            <w:r>
              <w:rPr>
                <w:rFonts w:ascii="仿宋_GB2312" w:hAnsi="仿宋_GB2312" w:cs="仿宋_GB2312" w:eastAsia="仿宋_GB2312"/>
                <w:sz w:val="15"/>
              </w:rPr>
              <w:t>完成渭南市52家重点企业周边土壤和地下水环境监测工作，掌握重点企业周边土壤和地下水污染状况，并编制成果集成报告。52家企业分布：澄城县（1家）、富平县（6家）、高新区（6家）、华阴市（3家）、华州区（11家）、蒲城县（19家）、潼关县（6家）。包括资料收集、现场踏勘等、监测方案、监测方案审核、周边环境监测、外部质控、质控报告编制、数据整理分析、报告编写、数据上报、成果集成等工作。</w:t>
            </w:r>
          </w:p>
          <w:p>
            <w:pPr>
              <w:pStyle w:val="null3"/>
              <w:jc w:val="both"/>
            </w:pPr>
            <w:r>
              <w:rPr>
                <w:rFonts w:ascii="仿宋_GB2312" w:hAnsi="仿宋_GB2312" w:cs="仿宋_GB2312" w:eastAsia="仿宋_GB2312"/>
                <w:sz w:val="15"/>
                <w:b/>
              </w:rPr>
              <w:t>四、拟投入本项目的费用测算</w:t>
            </w:r>
          </w:p>
          <w:p>
            <w:pPr>
              <w:pStyle w:val="null3"/>
              <w:ind w:firstLine="480"/>
              <w:jc w:val="both"/>
            </w:pPr>
            <w:r>
              <w:rPr>
                <w:rFonts w:ascii="仿宋_GB2312" w:hAnsi="仿宋_GB2312" w:cs="仿宋_GB2312" w:eastAsia="仿宋_GB2312"/>
                <w:sz w:val="15"/>
              </w:rPr>
              <w:t>本次采购预算284万元，包括项目所需的人工费、服务费、管理费、税金等费用，服务期内不再增加其他费用。</w:t>
            </w:r>
          </w:p>
          <w:p>
            <w:pPr>
              <w:pStyle w:val="null3"/>
              <w:jc w:val="both"/>
            </w:pPr>
            <w:r>
              <w:rPr>
                <w:rFonts w:ascii="仿宋_GB2312" w:hAnsi="仿宋_GB2312" w:cs="仿宋_GB2312" w:eastAsia="仿宋_GB2312"/>
                <w:sz w:val="15"/>
                <w:b/>
              </w:rPr>
              <w:t>五、服务质量、标准、期限、效率等要求</w:t>
            </w:r>
          </w:p>
          <w:p>
            <w:pPr>
              <w:pStyle w:val="null3"/>
              <w:ind w:firstLine="480"/>
              <w:jc w:val="both"/>
            </w:pPr>
            <w:r>
              <w:rPr>
                <w:rFonts w:ascii="仿宋_GB2312" w:hAnsi="仿宋_GB2312" w:cs="仿宋_GB2312" w:eastAsia="仿宋_GB2312"/>
                <w:sz w:val="15"/>
              </w:rPr>
              <w:t>服务质量：符合国家相关标准或行业标准</w:t>
            </w:r>
          </w:p>
          <w:p>
            <w:pPr>
              <w:pStyle w:val="null3"/>
              <w:ind w:firstLine="480"/>
              <w:jc w:val="both"/>
            </w:pPr>
            <w:r>
              <w:rPr>
                <w:rFonts w:ascii="仿宋_GB2312" w:hAnsi="仿宋_GB2312" w:cs="仿宋_GB2312" w:eastAsia="仿宋_GB2312"/>
                <w:sz w:val="15"/>
              </w:rPr>
              <w:t>服务期限：自合同签订之日起12个月完成。</w:t>
            </w:r>
          </w:p>
          <w:p>
            <w:pPr>
              <w:pStyle w:val="null3"/>
              <w:jc w:val="both"/>
            </w:pPr>
            <w:r>
              <w:rPr>
                <w:rFonts w:ascii="仿宋_GB2312" w:hAnsi="仿宋_GB2312" w:cs="仿宋_GB2312" w:eastAsia="仿宋_GB2312"/>
                <w:sz w:val="15"/>
                <w:b/>
              </w:rPr>
              <w:t>六、验收标准</w:t>
            </w:r>
          </w:p>
          <w:p>
            <w:pPr>
              <w:pStyle w:val="null3"/>
              <w:ind w:firstLine="480"/>
              <w:jc w:val="both"/>
            </w:pPr>
            <w:r>
              <w:rPr>
                <w:rFonts w:ascii="仿宋_GB2312" w:hAnsi="仿宋_GB2312" w:cs="仿宋_GB2312" w:eastAsia="仿宋_GB2312"/>
                <w:sz w:val="15"/>
              </w:rPr>
              <w:t>在服务期限内，根据相关标准完成采购人交代的工作任务，完成监测内容，通过专家评审验收，完成资料归档等工作。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满足本项目服务需求的人员配置，详见技术参数与性能指标及评分标准。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满足本项目服务需求的设施设备，详见技术参数与性能指标及评分标准。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完全响应招标文件。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乙方按照合同约定及相关标准要求完成工作，完成对重点企业周边土壤环境监测方案编制及审核、土壤和地下水样品采集及分析、编制相关成果报告。由专家对项目进行评审验收，验收须以招标文件、招标响应文件、合同、国家相应的标准、规范等为依据。验收合格须交接项目实施的全部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项目合同签订后支付40%；每次付款前，乙方需开具与待付款金额等额的增值税专用发票；在本合同履约期间，如合同内容中有甲方取消部分或无需实施的工作，结算时予以扣除</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现场采样和实验室分析完成并提交报告初稿后支付30%；每次付款前，乙方需开具与待付款金额等额的增值税专用发票；在本合同履约期间，如合同内容中有甲方取消部分或无需实施的工作，结算时予以扣除</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通过验收并提交成果报告后支付剩余30%；每次付款前，乙方需开具与待付款金额等额的增值税专用发票；在本合同履约期间，如合同内容中有甲方取消部分或无需实施的工作，结算时予以扣除</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违约责任：依据《中华人民共和国民法典》的相关条款和本合同约定，乙方未全面履行合同义务或者发生违约，甲方有权终止合同，依法向乙方进行经济索赔。 合同争议的解决：合同执行中发生争议的，甲乙双方应协商解决。协商达不成一致时，应向甲方所在地人民法院提请诉讼。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不专门面向中小企业采购；2.供应商应自投标文件递交截止时间起至评标结束保持在线状态；3.各供应商在发布中标结果公示之日起5个工作日内将纸质版投标文件正本1份、副本2份、电子版2份（U盘）提交至采购代理公司处，以便采购人进行留存备案等工作，各供应商应保持投标文件纸质版内容与电子版内容及陕西省政府采购网（ww w.ccgp-shaanxi.gov.cn）上传的内容完全一致，否则将承担自行一切法律责任。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资格证明部分.pdf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资格证明部分.pdf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资格证明部分.pdf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供应商具有独立承担民事责任的法人、其他组织或自然人，提供有效的营业执照等相应证明文件，非法人单位参照执行；供应商需在项目电子化交易系统中按要求上传相应证明文件并进行电子签章；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提供2024年度的财务审计报告或提供投标文件递交截止时间前六个月内的基本账户开户银行出具的资信证明（成立时间至提交投标文件截止时间不足一年的可提供成立后任意时段的资产负债表）；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提供2024年5月至投标文件递交截止时间前已缴纳的至少一个月的纳税证明或完税证明，依法免税的应提供相关证明材料；</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提供2024年5月至投标文件递交截止时间前已缴纳至少一个月的社会保障资金缴纳凭证/证明，依法不需要缴纳的应提供相关证明材料；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主管部门颁发的检验检测机构资质认定证书（有效期内的）；样品需经具有CMA资质的实验室进行检测分析，样品测试指标相关的分析测试方法、检出限以及对应的测试指标评价标准应满足相关测试要求,并出具监测报告；</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项目负责人具有环境工程或环境监测专业高级及以上职称；</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①提供具有履行合同所必需的设备和专业技术能力书面声明；②参加政府采购活动前三年内，在经营活动中没有重大违法记录书面声明；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法定代表人授权书及被授权人身份证(法定代表人直接投标的须提供其法人身份证),非法人单位参照执行；</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查询及使用信用记录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资格证明部分.pdf 投标函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商务技术部分.pdf 开标一览表 资格证明部分.pdf 投标函 中小企业声明函 残疾人福利性单位声明函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商务技术部分.pdf 开标一览表 资格证明部分.pdf 投标函 中小企业声明函 残疾人福利性单位声明函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商务技术部分.pdf 开标一览表 资格证明部分.pdf 投标函 中小企业声明函 残疾人福利性单位声明函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招标文件招标要求；服务方案是否有重大缺漏项；项目的实际响应技术参数是否有重大偏离；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商务技术部分.pdf 开标一览表 资格证明部分.pdf 投标函 中小企业声明函 残疾人福利性单位声明函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的项目实施方案内容应包含但不限于：资料收集、现场踏勘、监测方案、周边环境监测、监测方案审核、外部质控、质控报告编制、数据整理分析、土壤和地下水污染状况报告编写、数据上报、成果集成等内容。 （1）与招标文件要求相符，方案内容齐全、结构完整，科学、合理，可操作性强，得（15-20]分； （2）与招标文件要求基本相符，方案内容齐全、结构完整，科学、合理，部分内容有一定的操作难度，得（10-15]分； （3）与招标文件要求基本相符，方案内容基本齐全、结构基本完整，满足项目需要，科学性和合理性有待完善，可操作性需进一步补充或细化，得（5-10]分； （4）与招标文件要求基本相符，方案内容基本齐全、结构基本完整，科学性和合理性有欠缺，可操作性有关键性错误或重要内容未考虑周全，得（0-5]分； （5）与招标文件要求不相符，方案内容有缺失、结构不够完整，可操作性描述太笼统或有重要疏漏，得0分。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对本项目重难点认识</w:t>
            </w:r>
          </w:p>
        </w:tc>
        <w:tc>
          <w:tcPr>
            <w:tcW w:type="dxa" w:w="2492"/>
          </w:tcPr>
          <w:p>
            <w:pPr>
              <w:pStyle w:val="null3"/>
            </w:pPr>
            <w:r>
              <w:rPr>
                <w:rFonts w:ascii="仿宋_GB2312" w:hAnsi="仿宋_GB2312" w:cs="仿宋_GB2312" w:eastAsia="仿宋_GB2312"/>
              </w:rPr>
              <w:t>对专题的工作重点、难点认识准确、描述清晰、措施得当、 具体合理，并能提出合理化建议，方案完善、合理，可行性高计 8-10 分；方案基本完善、可行性一般计 4-8 分；方 案不完善、不具备可行性计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供应商安全管理制度完善、安全保障措施合理，符合国家 规范要求，有相关应急处理措施，根据优劣程度计 8-10 分；安全管理制度完善、安全保障措施一般，符合国家规范要求，应急处理措施不完善，根据优劣程度计 4-8 分； 安全管理制度完善、安全保障措施一般，符合国家规范要求，无应急处理措施，根据优劣程度计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供应商的质量管理机构健全，措施得当，目标可控，满足项目质量需求，编制合理计 4-8 分；质量管理机构基本健全，措施基本完善计 2-4 分；质量管理机构不健全，不能满足专题质量需求计 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供应商各项安排合理、规范，措施得当，目标可控，满足专题进度需求，按其响应程度计0-3分。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依据采购需求配备主要设备采样器、检测仪、气相色谱仪等，样品的采集、保存、运输等设备，按其响应程度计0-3分。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保密制度完善、措施具体可行，满足招标文件要求，根据详细程度和可行性计，计0-3分。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项目负责人具有环境工程或环境监测专业高级或以上职称得4分； 注：需提供项目负责人身份证、职称证书扫描件加盖公章。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项目团队其他成员（项目负责人除外）具备环境工程或环境监测相关专业的人员，每提供1人，计2分，满分10分。 注：需要提供身份证、专业证书扫描件，未提供齐全本项不计分。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供应商提供自2022年1月1日起至投标截止日期，承担过类似项目业绩，每提供1个得2分，最高得6分（提供合同或成交通知书，并加盖公章，不提供不得分）。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针对本项目有具体可行的服务承诺，承诺内容应包含具有为业主提供相关技术咨询的实力，包含优化建议等措施。承诺内容贴近采购需求、细节描述详细、完整合理，得 0-3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商务技术部分.pdf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采用最低价优先法。 合格供应商最低的报价为评标基准价，得分为满分20分； 其他供应商价格得分按下列公式计算：投标报价得分=（评标基准价/投标报价）×20。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商务技术部分.pdf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商务技术部分.pdf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详见附件：资格证明部分.pdf</w:t>
      </w:r>
    </w:p>
    <w:p>
      <w:pPr>
        <w:pStyle w:val="null3"/>
        <w:ind w:firstLine="960"/>
      </w:pPr>
      <w:r>
        <w:rPr>
          <w:rFonts w:ascii="仿宋_GB2312" w:hAnsi="仿宋_GB2312" w:cs="仿宋_GB2312" w:eastAsia="仿宋_GB2312"/>
        </w:rPr>
        <w:t>详见附件：商务技术部分.pdf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