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版本号：ZX-ZC-PC-2025-03120250810004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排污口标准化建设工程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ZX-ZC-PC-2025-031</w:t>
      </w:r>
      <w:r>
        <w:br/>
      </w:r>
      <w:r>
        <w:br/>
      </w:r>
      <w:r>
        <w:br/>
      </w:r>
    </w:p>
    <w:p>
      <w:pPr>
        <w:pStyle w:val="null3"/>
        <w:jc w:val="center"/>
        <w:outlineLvl w:val="2"/>
      </w:pPr>
      <w:r>
        <w:rPr>
          <w:rFonts w:ascii="仿宋_GB2312" w:hAnsi="仿宋_GB2312" w:cs="仿宋_GB2312" w:eastAsia="仿宋_GB2312"/>
          <w:sz w:val="28"/>
          <w:b/>
        </w:rPr>
        <w:t>渭南市生态环境局蒲城分局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渭南市生态环境局蒲城分局</w:t>
      </w:r>
      <w:r>
        <w:rPr>
          <w:rFonts w:ascii="仿宋_GB2312" w:hAnsi="仿宋_GB2312" w:cs="仿宋_GB2312" w:eastAsia="仿宋_GB2312"/>
        </w:rPr>
        <w:t>委托，拟对</w:t>
      </w:r>
      <w:r>
        <w:rPr>
          <w:rFonts w:ascii="仿宋_GB2312" w:hAnsi="仿宋_GB2312" w:cs="仿宋_GB2312" w:eastAsia="仿宋_GB2312"/>
        </w:rPr>
        <w:t>排污口标准化建设工程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ZX-ZC-PC-2025-031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排污口标准化建设工程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本次采购内容主要是蒲城县阿坡村阿坡温泉排污口，蒲城县南排洪渠入北洛河口以及中干沟总干渠入河排污口的标准化建 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采购包1（排污口标准化建设工程）：属于专门面向中小企业采购。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 等证明文件或自然人的身份证明；</w:t>
      </w:r>
    </w:p>
    <w:p>
      <w:pPr>
        <w:pStyle w:val="null3"/>
      </w:pPr>
      <w:r>
        <w:rPr>
          <w:rFonts w:ascii="仿宋_GB2312" w:hAnsi="仿宋_GB2312" w:cs="仿宋_GB2312" w:eastAsia="仿宋_GB2312"/>
        </w:rPr>
        <w:t>2、资质要求：环保工程专业承包二级及以上资质</w:t>
      </w:r>
    </w:p>
    <w:p>
      <w:pPr>
        <w:pStyle w:val="null3"/>
      </w:pPr>
      <w:r>
        <w:rPr>
          <w:rFonts w:ascii="仿宋_GB2312" w:hAnsi="仿宋_GB2312" w:cs="仿宋_GB2312" w:eastAsia="仿宋_GB2312"/>
        </w:rPr>
        <w:t>3、项目负责人：环境类相关专业中级及以上技术职称</w:t>
      </w:r>
    </w:p>
    <w:p>
      <w:pPr>
        <w:pStyle w:val="null3"/>
      </w:pPr>
      <w:r>
        <w:rPr>
          <w:rFonts w:ascii="仿宋_GB2312" w:hAnsi="仿宋_GB2312" w:cs="仿宋_GB2312" w:eastAsia="仿宋_GB2312"/>
        </w:rPr>
        <w:t>4、财务状况报告：提供2023年度或2024年度的财务报表（至少 包括资产负债表和利润表，成立时间至提交响 应文件截止时间不足一年的可提供成立后任意 时段的资产负债表），或其基本存款账户开户 银行出具的资信证明及基本存款账户开户证明 ；</w:t>
      </w:r>
    </w:p>
    <w:p>
      <w:pPr>
        <w:pStyle w:val="null3"/>
      </w:pPr>
      <w:r>
        <w:rPr>
          <w:rFonts w:ascii="仿宋_GB2312" w:hAnsi="仿宋_GB2312" w:cs="仿宋_GB2312" w:eastAsia="仿宋_GB2312"/>
        </w:rPr>
        <w:t>5、税收缴纳证明：：提供近六个月已缴纳的任意一个月的增值税或 营业税或企业所得税的凭据或完税证明；依法 免税的投标人应提供相关证明文件；</w:t>
      </w:r>
    </w:p>
    <w:p>
      <w:pPr>
        <w:pStyle w:val="null3"/>
      </w:pPr>
      <w:r>
        <w:rPr>
          <w:rFonts w:ascii="仿宋_GB2312" w:hAnsi="仿宋_GB2312" w:cs="仿宋_GB2312" w:eastAsia="仿宋_GB2312"/>
        </w:rPr>
        <w:t>6、社会保障资金缴纳证明：提供2024年6月至今至少一个月的社会保障资 金缴存单据或社保机构开具的社会保险参保缴 费情况证明，依法不需要缴纳社会保障资金的 单位应提供相关证明材料；</w:t>
      </w:r>
    </w:p>
    <w:p>
      <w:pPr>
        <w:pStyle w:val="null3"/>
      </w:pPr>
      <w:r>
        <w:rPr>
          <w:rFonts w:ascii="仿宋_GB2312" w:hAnsi="仿宋_GB2312" w:cs="仿宋_GB2312" w:eastAsia="仿宋_GB2312"/>
        </w:rPr>
        <w:t>7、无违纪声明：提供参加本次政府采购活动前三年内在经营活 动中没有重大违法记录的书面声明</w:t>
      </w:r>
    </w:p>
    <w:p>
      <w:pPr>
        <w:pStyle w:val="null3"/>
      </w:pPr>
      <w:r>
        <w:rPr>
          <w:rFonts w:ascii="仿宋_GB2312" w:hAnsi="仿宋_GB2312" w:cs="仿宋_GB2312" w:eastAsia="仿宋_GB2312"/>
        </w:rPr>
        <w:t>8、设备和专业技术能力的书面承诺：提供具有履行本合同所必须的设备和专业技术 能力的书面承诺</w:t>
      </w:r>
    </w:p>
    <w:p>
      <w:pPr>
        <w:pStyle w:val="null3"/>
      </w:pPr>
      <w:r>
        <w:rPr>
          <w:rFonts w:ascii="仿宋_GB2312" w:hAnsi="仿宋_GB2312" w:cs="仿宋_GB2312" w:eastAsia="仿宋_GB2312"/>
        </w:rPr>
        <w:t>9、中小企业声明函：供应商应提供中小企业声明函</w:t>
      </w:r>
    </w:p>
    <w:p>
      <w:pPr>
        <w:pStyle w:val="null3"/>
      </w:pPr>
      <w:r>
        <w:rPr>
          <w:rFonts w:ascii="仿宋_GB2312" w:hAnsi="仿宋_GB2312" w:cs="仿宋_GB2312" w:eastAsia="仿宋_GB2312"/>
        </w:rPr>
        <w:t>10、法定代表人授权书：法定代表人授权书（附法定代表人、被授权人 身份证复印件）及被授权人身份证（法定代表 人参加磋商只需提供本人身份证）；其他形式 供应商参照法人企业执行</w:t>
      </w:r>
    </w:p>
    <w:p>
      <w:pPr>
        <w:pStyle w:val="null3"/>
      </w:pPr>
      <w:r>
        <w:rPr>
          <w:rFonts w:ascii="仿宋_GB2312" w:hAnsi="仿宋_GB2312" w:cs="仿宋_GB2312" w:eastAsia="仿宋_GB2312"/>
        </w:rPr>
        <w:t>11、无严重违纪：供应商不得为“信用中国”网站（www.creditch ina.gov.cn）中列入失信被执行人和重大税收 违法案件当事人名单的供应商，不得为中国政 府采购网（www.ccgp.gov.cn）政府采购严重 违法失信行为记录名单中被财政部门禁止参加 政府采购活动的供应商；</w:t>
      </w:r>
    </w:p>
    <w:p>
      <w:pPr>
        <w:pStyle w:val="null3"/>
      </w:pPr>
      <w:r>
        <w:rPr>
          <w:rFonts w:ascii="仿宋_GB2312" w:hAnsi="仿宋_GB2312" w:cs="仿宋_GB2312" w:eastAsia="仿宋_GB2312"/>
        </w:rPr>
        <w:t>12、联合体及分包声明：本项目不接受联合体响应，不允许分包（提供 非联合体及不分包声明）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渭南市生态环境局蒲城分局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蒲城县东风街东段环保局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渭南市生态环境局蒲城分局经办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18991670615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赵强、王涛、王超、李博飞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0913-7203886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开户名称：中昕国际项目管理有限公司</w:t>
            </w:r>
          </w:p>
          <w:p>
            <w:pPr>
              <w:pStyle w:val="null3"/>
            </w:pPr>
            <w:r>
              <w:rPr>
                <w:rFonts w:ascii="仿宋_GB2312" w:hAnsi="仿宋_GB2312" w:cs="仿宋_GB2312" w:eastAsia="仿宋_GB2312"/>
              </w:rPr>
              <w:t>开户银行：平安银行西安经济技术开发区支行</w:t>
            </w:r>
          </w:p>
          <w:p>
            <w:pPr>
              <w:pStyle w:val="null3"/>
            </w:pPr>
            <w:r>
              <w:rPr>
                <w:rFonts w:ascii="仿宋_GB2312" w:hAnsi="仿宋_GB2312" w:cs="仿宋_GB2312" w:eastAsia="仿宋_GB2312"/>
              </w:rPr>
              <w:t>银行账号：30201687007806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 服务费收费标准：根据国家财政部、国家计委、国家物价局(2002)1980号，国家发改委(2003 )857号等文件规定收取，由中标人在领取中标通知书前一次性全额付清。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渭南市生态环境局蒲城分局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渭南市生态环境局蒲城分局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渭南市生态环境局蒲城分局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联系电话：0913-7203886</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本次采购内容主要是蒲城县阿坡村阿坡温泉排污口，蒲城县南排洪渠入北洛河口以及中干沟总干渠入河排污口的标准化建 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450000.00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标的名称：450000.00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7"/>
                <w:color w:val="000000"/>
              </w:rPr>
              <w:t>一</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、基本要求</w:t>
            </w:r>
          </w:p>
          <w:p>
            <w:pPr>
              <w:pStyle w:val="null3"/>
              <w:spacing w:before="270"/>
              <w:ind w:right="240" w:firstLine="580"/>
              <w:jc w:val="left"/>
            </w:pPr>
            <w:r>
              <w:rPr>
                <w:rFonts w:ascii="仿宋_GB2312" w:hAnsi="仿宋_GB2312" w:cs="仿宋_GB2312" w:eastAsia="仿宋_GB2312"/>
                <w:sz w:val="27"/>
                <w:color w:val="000000"/>
              </w:rPr>
              <w:t>1</w:t>
            </w:r>
            <w:r>
              <w:rPr>
                <w:rFonts w:ascii="仿宋_GB2312" w:hAnsi="仿宋_GB2312" w:cs="仿宋_GB2312" w:eastAsia="仿宋_GB2312"/>
                <w:sz w:val="27"/>
                <w:color w:val="000000"/>
              </w:rPr>
              <w:t>、功能要求：</w:t>
            </w:r>
            <w:r>
              <w:rPr>
                <w:rFonts w:ascii="仿宋_GB2312" w:hAnsi="仿宋_GB2312" w:cs="仿宋_GB2312" w:eastAsia="仿宋_GB2312"/>
                <w:sz w:val="27"/>
                <w:color w:val="000000"/>
              </w:rPr>
              <w:t>排污口标准化建设工程</w:t>
            </w:r>
          </w:p>
          <w:p>
            <w:pPr>
              <w:pStyle w:val="null3"/>
              <w:spacing w:before="300"/>
              <w:ind w:left="585"/>
              <w:jc w:val="left"/>
            </w:pPr>
            <w:r>
              <w:rPr>
                <w:rFonts w:ascii="仿宋_GB2312" w:hAnsi="仿宋_GB2312" w:cs="仿宋_GB2312" w:eastAsia="仿宋_GB2312"/>
                <w:sz w:val="27"/>
                <w:color w:val="000000"/>
              </w:rPr>
              <w:t>2、落实政府采购政策需满足的资格要求：</w:t>
            </w:r>
          </w:p>
          <w:p>
            <w:pPr>
              <w:pStyle w:val="null3"/>
              <w:spacing w:before="315"/>
              <w:ind w:right="270" w:firstLine="699"/>
              <w:jc w:val="left"/>
            </w:pPr>
            <w:r>
              <w:rPr>
                <w:rFonts w:ascii="仿宋_GB2312" w:hAnsi="仿宋_GB2312" w:cs="仿宋_GB2312" w:eastAsia="仿宋_GB2312"/>
                <w:sz w:val="27"/>
                <w:color w:val="000000"/>
              </w:rPr>
              <w:t>(1)《财政部国家发展改革委关于印发〈节能</w:t>
            </w:r>
            <w:r>
              <w:rPr>
                <w:rFonts w:ascii="仿宋_GB2312" w:hAnsi="仿宋_GB2312" w:cs="仿宋_GB2312" w:eastAsia="仿宋_GB2312"/>
                <w:sz w:val="27"/>
                <w:color w:val="000000"/>
              </w:rPr>
              <w:t>产品政府采购实施</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意见〉的通知》</w:t>
            </w:r>
            <w:r>
              <w:rPr>
                <w:rFonts w:ascii="仿宋_GB2312" w:hAnsi="仿宋_GB2312" w:cs="仿宋_GB2312" w:eastAsia="仿宋_GB2312"/>
                <w:sz w:val="27"/>
                <w:color w:val="000000"/>
              </w:rPr>
              <w:t>(财库〔2004〕185号);</w:t>
            </w:r>
          </w:p>
          <w:p>
            <w:pPr>
              <w:pStyle w:val="null3"/>
              <w:spacing w:before="315"/>
              <w:ind w:left="150" w:firstLine="550"/>
              <w:jc w:val="left"/>
            </w:pPr>
            <w:r>
              <w:rPr>
                <w:rFonts w:ascii="仿宋_GB2312" w:hAnsi="仿宋_GB2312" w:cs="仿宋_GB2312" w:eastAsia="仿宋_GB2312"/>
                <w:sz w:val="27"/>
                <w:color w:val="000000"/>
              </w:rPr>
              <w:t>(2)《国务院办公厅关于建立政府强制采购节能产品制度的通知》</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(国办发〔2007〕51号);</w:t>
            </w:r>
          </w:p>
          <w:p>
            <w:pPr>
              <w:pStyle w:val="null3"/>
              <w:spacing w:before="315"/>
              <w:ind w:left="150" w:right="180" w:firstLine="550"/>
              <w:jc w:val="left"/>
            </w:pPr>
            <w:r>
              <w:rPr>
                <w:rFonts w:ascii="仿宋_GB2312" w:hAnsi="仿宋_GB2312" w:cs="仿宋_GB2312" w:eastAsia="仿宋_GB2312"/>
                <w:sz w:val="27"/>
                <w:color w:val="000000"/>
              </w:rPr>
              <w:t>(3)《财政部环保总局关于环境标志产品政府采购实施的意</w:t>
            </w:r>
            <w:r>
              <w:rPr>
                <w:rFonts w:ascii="仿宋_GB2312" w:hAnsi="仿宋_GB2312" w:cs="仿宋_GB2312" w:eastAsia="仿宋_GB2312"/>
                <w:sz w:val="27"/>
                <w:color w:val="000000"/>
              </w:rPr>
              <w:t>见》</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(财库〔2006〕90号);</w:t>
            </w:r>
          </w:p>
          <w:p>
            <w:pPr>
              <w:pStyle w:val="null3"/>
              <w:spacing w:before="315"/>
              <w:ind w:right="300" w:firstLine="699"/>
              <w:jc w:val="left"/>
            </w:pPr>
            <w:r>
              <w:rPr>
                <w:rFonts w:ascii="仿宋_GB2312" w:hAnsi="仿宋_GB2312" w:cs="仿宋_GB2312" w:eastAsia="仿宋_GB2312"/>
                <w:sz w:val="27"/>
                <w:color w:val="000000"/>
              </w:rPr>
              <w:t>(4)《政府采购促进中小企业发展暂行办法》(财库【2020】46</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号</w:t>
            </w:r>
            <w:r>
              <w:rPr>
                <w:rFonts w:ascii="仿宋_GB2312" w:hAnsi="仿宋_GB2312" w:cs="仿宋_GB2312" w:eastAsia="仿宋_GB2312"/>
                <w:sz w:val="27"/>
                <w:color w:val="000000"/>
              </w:rPr>
              <w:t>);</w:t>
            </w:r>
          </w:p>
          <w:p>
            <w:pPr>
              <w:pStyle w:val="null3"/>
              <w:spacing w:before="300"/>
              <w:ind w:right="270" w:firstLine="699"/>
              <w:jc w:val="left"/>
            </w:pPr>
            <w:r>
              <w:rPr>
                <w:rFonts w:ascii="仿宋_GB2312" w:hAnsi="仿宋_GB2312" w:cs="仿宋_GB2312" w:eastAsia="仿宋_GB2312"/>
                <w:sz w:val="27"/>
                <w:color w:val="000000"/>
              </w:rPr>
              <w:t>(5)《财政部司法部关于政府采购支持监狱企业发展有关问题的</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通知》</w:t>
            </w:r>
            <w:r>
              <w:rPr>
                <w:rFonts w:ascii="仿宋_GB2312" w:hAnsi="仿宋_GB2312" w:cs="仿宋_GB2312" w:eastAsia="仿宋_GB2312"/>
                <w:sz w:val="27"/>
                <w:color w:val="000000"/>
              </w:rPr>
              <w:t>(财库〔2014〕68号);</w:t>
            </w:r>
          </w:p>
          <w:p>
            <w:pPr>
              <w:pStyle w:val="null3"/>
              <w:spacing w:before="300"/>
              <w:ind w:left="150" w:firstLine="550"/>
              <w:jc w:val="left"/>
            </w:pPr>
            <w:r>
              <w:rPr>
                <w:rFonts w:ascii="仿宋_GB2312" w:hAnsi="仿宋_GB2312" w:cs="仿宋_GB2312" w:eastAsia="仿宋_GB2312"/>
                <w:sz w:val="27"/>
                <w:color w:val="000000"/>
              </w:rPr>
              <w:t>(6)《三部门联合发布关于促进残疾人就业政府采购政策的通知》</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(财库〔2017〕141号);</w:t>
            </w:r>
          </w:p>
          <w:p>
            <w:pPr>
              <w:pStyle w:val="null3"/>
              <w:spacing w:before="315"/>
              <w:ind w:right="270" w:firstLine="699"/>
              <w:jc w:val="left"/>
            </w:pPr>
            <w:r>
              <w:rPr>
                <w:rFonts w:ascii="仿宋_GB2312" w:hAnsi="仿宋_GB2312" w:cs="仿宋_GB2312" w:eastAsia="仿宋_GB2312"/>
                <w:sz w:val="27"/>
                <w:color w:val="000000"/>
              </w:rPr>
              <w:t>(7)《财政部发展改革委生态环境部市场监</w:t>
            </w:r>
            <w:r>
              <w:rPr>
                <w:rFonts w:ascii="仿宋_GB2312" w:hAnsi="仿宋_GB2312" w:cs="仿宋_GB2312" w:eastAsia="仿宋_GB2312"/>
                <w:sz w:val="27"/>
                <w:color w:val="000000"/>
              </w:rPr>
              <w:t>管总局关于调整优化</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节能产品、环境标志产品政府采购执行机制的通知》</w:t>
            </w:r>
            <w:r>
              <w:rPr>
                <w:rFonts w:ascii="仿宋_GB2312" w:hAnsi="仿宋_GB2312" w:cs="仿宋_GB2312" w:eastAsia="仿宋_GB2312"/>
                <w:sz w:val="27"/>
                <w:color w:val="000000"/>
              </w:rPr>
              <w:t>(财库〔2</w:t>
            </w:r>
            <w:r>
              <w:rPr>
                <w:rFonts w:ascii="仿宋_GB2312" w:hAnsi="仿宋_GB2312" w:cs="仿宋_GB2312" w:eastAsia="仿宋_GB2312"/>
                <w:sz w:val="27"/>
                <w:color w:val="000000"/>
              </w:rPr>
              <w:t>019〕9</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号</w:t>
            </w:r>
            <w:r>
              <w:rPr>
                <w:rFonts w:ascii="仿宋_GB2312" w:hAnsi="仿宋_GB2312" w:cs="仿宋_GB2312" w:eastAsia="仿宋_GB2312"/>
                <w:sz w:val="27"/>
                <w:color w:val="000000"/>
              </w:rPr>
              <w:t>);</w:t>
            </w:r>
          </w:p>
          <w:p>
            <w:pPr>
              <w:pStyle w:val="null3"/>
              <w:spacing w:before="315"/>
              <w:ind w:left="705"/>
              <w:jc w:val="left"/>
            </w:pPr>
            <w:r>
              <w:rPr>
                <w:rFonts w:ascii="仿宋_GB2312" w:hAnsi="仿宋_GB2312" w:cs="仿宋_GB2312" w:eastAsia="仿宋_GB2312"/>
                <w:sz w:val="27"/>
                <w:color w:val="000000"/>
              </w:rPr>
              <w:t>(8)《财政部国务院扶贫办关于运用政府采购政</w:t>
            </w:r>
            <w:r>
              <w:rPr>
                <w:rFonts w:ascii="仿宋_GB2312" w:hAnsi="仿宋_GB2312" w:cs="仿宋_GB2312" w:eastAsia="仿宋_GB2312"/>
                <w:sz w:val="27"/>
                <w:color w:val="000000"/>
              </w:rPr>
              <w:t>策支持脱贫攻坚</w:t>
            </w:r>
          </w:p>
          <w:p>
            <w:pPr>
              <w:pStyle w:val="null3"/>
            </w:pPr>
            <w:r>
              <w:rPr>
                <w:rFonts w:ascii="仿宋_GB2312" w:hAnsi="仿宋_GB2312" w:cs="仿宋_GB2312" w:eastAsia="仿宋_GB2312"/>
                <w:sz w:val="27"/>
                <w:color w:val="000000"/>
              </w:rPr>
              <w:t>的通知》</w:t>
            </w:r>
            <w:r>
              <w:rPr>
                <w:rFonts w:ascii="仿宋_GB2312" w:hAnsi="仿宋_GB2312" w:cs="仿宋_GB2312" w:eastAsia="仿宋_GB2312"/>
                <w:sz w:val="27"/>
                <w:color w:val="000000"/>
              </w:rPr>
              <w:t>(财库〔2019〕27号);</w:t>
            </w:r>
          </w:p>
          <w:p>
            <w:pPr>
              <w:pStyle w:val="null3"/>
              <w:spacing w:before="315"/>
              <w:ind w:right="240" w:firstLine="719"/>
              <w:jc w:val="left"/>
            </w:pPr>
            <w:r>
              <w:rPr>
                <w:rFonts w:ascii="仿宋_GB2312" w:hAnsi="仿宋_GB2312" w:cs="仿宋_GB2312" w:eastAsia="仿宋_GB2312"/>
                <w:sz w:val="27"/>
                <w:color w:val="000000"/>
              </w:rPr>
              <w:t>(9)《陕西省中小企业政府采购信用融资办法》(陕财办采〔2018)</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23号)等；</w:t>
            </w:r>
          </w:p>
          <w:p>
            <w:pPr>
              <w:pStyle w:val="null3"/>
              <w:spacing w:before="315"/>
              <w:ind w:right="300" w:firstLine="719"/>
              <w:jc w:val="left"/>
            </w:pPr>
            <w:r>
              <w:rPr>
                <w:rFonts w:ascii="仿宋_GB2312" w:hAnsi="仿宋_GB2312" w:cs="仿宋_GB2312" w:eastAsia="仿宋_GB2312"/>
                <w:sz w:val="27"/>
                <w:color w:val="000000"/>
              </w:rPr>
              <w:t>(10)《财政部关于进一步加大政府采购支持中小企业力度的通</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知》</w:t>
            </w:r>
            <w:r>
              <w:rPr>
                <w:rFonts w:ascii="仿宋_GB2312" w:hAnsi="仿宋_GB2312" w:cs="仿宋_GB2312" w:eastAsia="仿宋_GB2312"/>
                <w:sz w:val="27"/>
                <w:color w:val="000000"/>
              </w:rPr>
              <w:t>(财库</w:t>
            </w:r>
            <w:r>
              <w:rPr>
                <w:rFonts w:ascii="仿宋_GB2312" w:hAnsi="仿宋_GB2312" w:cs="仿宋_GB2312" w:eastAsia="仿宋_GB2312"/>
                <w:sz w:val="27"/>
                <w:color w:val="000000"/>
              </w:rPr>
              <w:t>〔</w:t>
            </w:r>
            <w:r>
              <w:rPr>
                <w:rFonts w:ascii="仿宋_GB2312" w:hAnsi="仿宋_GB2312" w:cs="仿宋_GB2312" w:eastAsia="仿宋_GB2312"/>
                <w:sz w:val="27"/>
                <w:color w:val="000000"/>
              </w:rPr>
              <w:t>2022</w:t>
            </w:r>
            <w:r>
              <w:rPr>
                <w:rFonts w:ascii="仿宋_GB2312" w:hAnsi="仿宋_GB2312" w:cs="仿宋_GB2312" w:eastAsia="仿宋_GB2312"/>
                <w:sz w:val="27"/>
                <w:color w:val="000000"/>
              </w:rPr>
              <w:t>〕</w:t>
            </w:r>
            <w:r>
              <w:rPr>
                <w:rFonts w:ascii="仿宋_GB2312" w:hAnsi="仿宋_GB2312" w:cs="仿宋_GB2312" w:eastAsia="仿宋_GB2312"/>
                <w:sz w:val="27"/>
                <w:color w:val="000000"/>
              </w:rPr>
              <w:t>19号);</w:t>
            </w:r>
          </w:p>
          <w:p>
            <w:pPr>
              <w:pStyle w:val="null3"/>
              <w:spacing w:before="330"/>
              <w:ind w:right="315" w:firstLine="719"/>
              <w:jc w:val="left"/>
            </w:pPr>
            <w:r>
              <w:rPr>
                <w:rFonts w:ascii="仿宋_GB2312" w:hAnsi="仿宋_GB2312" w:cs="仿宋_GB2312" w:eastAsia="仿宋_GB2312"/>
                <w:sz w:val="27"/>
                <w:color w:val="000000"/>
              </w:rPr>
              <w:t>(11)《陕西省财政厅关于进一步优化政府采购营商环境有关事</w:t>
            </w:r>
            <w:r>
              <w:rPr>
                <w:rFonts w:ascii="仿宋_GB2312" w:hAnsi="仿宋_GB2312" w:cs="仿宋_GB2312" w:eastAsia="仿宋_GB2312"/>
                <w:sz w:val="27"/>
                <w:color w:val="000000"/>
              </w:rPr>
              <w:t xml:space="preserve"> </w:t>
            </w:r>
            <w:r>
              <w:rPr>
                <w:rFonts w:ascii="仿宋_GB2312" w:hAnsi="仿宋_GB2312" w:cs="仿宋_GB2312" w:eastAsia="仿宋_GB2312"/>
                <w:sz w:val="27"/>
                <w:color w:val="000000"/>
              </w:rPr>
              <w:t>项的通知》</w:t>
            </w:r>
            <w:r>
              <w:rPr>
                <w:rFonts w:ascii="仿宋_GB2312" w:hAnsi="仿宋_GB2312" w:cs="仿宋_GB2312" w:eastAsia="仿宋_GB2312"/>
                <w:sz w:val="27"/>
                <w:color w:val="000000"/>
              </w:rPr>
              <w:t>(陕财办采〔2023〕4号);</w:t>
            </w:r>
          </w:p>
          <w:p>
            <w:pPr>
              <w:pStyle w:val="null3"/>
              <w:spacing w:before="285"/>
              <w:ind w:left="720"/>
              <w:jc w:val="left"/>
            </w:pPr>
            <w:r>
              <w:rPr>
                <w:rFonts w:ascii="仿宋_GB2312" w:hAnsi="仿宋_GB2312" w:cs="仿宋_GB2312" w:eastAsia="仿宋_GB2312"/>
                <w:sz w:val="27"/>
                <w:color w:val="000000"/>
              </w:rPr>
              <w:t>(12)政府采购落实的其他政策。</w:t>
            </w:r>
          </w:p>
          <w:p>
            <w:pPr>
              <w:pStyle w:val="null3"/>
              <w:spacing w:before="315"/>
              <w:ind w:left="570"/>
              <w:jc w:val="left"/>
            </w:pPr>
            <w:r>
              <w:rPr>
                <w:rFonts w:ascii="仿宋_GB2312" w:hAnsi="仿宋_GB2312" w:cs="仿宋_GB2312" w:eastAsia="仿宋_GB2312"/>
                <w:sz w:val="27"/>
                <w:color w:val="000000"/>
              </w:rPr>
              <w:t>3、服务期限：</w:t>
            </w:r>
            <w:r>
              <w:rPr>
                <w:rFonts w:ascii="仿宋_GB2312" w:hAnsi="仿宋_GB2312" w:cs="仿宋_GB2312" w:eastAsia="仿宋_GB2312"/>
                <w:sz w:val="27"/>
                <w:color w:val="000000"/>
              </w:rPr>
              <w:t>21</w:t>
            </w:r>
            <w:r>
              <w:rPr>
                <w:rFonts w:ascii="仿宋_GB2312" w:hAnsi="仿宋_GB2312" w:cs="仿宋_GB2312" w:eastAsia="仿宋_GB2312"/>
                <w:sz w:val="27"/>
                <w:color w:val="000000"/>
              </w:rPr>
              <w:t>日历天</w:t>
            </w:r>
          </w:p>
          <w:p>
            <w:pPr>
              <w:pStyle w:val="null3"/>
              <w:spacing w:before="315"/>
              <w:ind w:left="570"/>
              <w:jc w:val="left"/>
            </w:pPr>
            <w:r>
              <w:rPr>
                <w:rFonts w:ascii="仿宋_GB2312" w:hAnsi="仿宋_GB2312" w:cs="仿宋_GB2312" w:eastAsia="仿宋_GB2312"/>
                <w:sz w:val="27"/>
                <w:color w:val="000000"/>
              </w:rPr>
              <w:t>4、地点：渭南市蒲城县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21</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 等证明文件或自然人的身份证明；</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环保工程专业承包二级及以上资质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环境类相关专业中级及以上技术职称</w:t>
            </w:r>
          </w:p>
        </w:tc>
        <w:tc>
          <w:tcPr>
            <w:tcW w:type="dxa" w:w="1661"/>
          </w:tcPr>
          <w:p>
            <w:pPr>
              <w:pStyle w:val="null3"/>
            </w:pPr>
            <w:r>
              <w:rPr>
                <w:rFonts w:ascii="仿宋_GB2312" w:hAnsi="仿宋_GB2312" w:cs="仿宋_GB2312" w:eastAsia="仿宋_GB2312"/>
              </w:rPr>
              <w:t>商务应答表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提供2023年度或2024年度的财务报表（至少 包括资产负债表和利润表，成立时间至提交响 应文件截止时间不足一年的可提供成立后任意 时段的资产负债表），或其基本存款账户开户 银行出具的资信证明及基本存款账户开户证明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提供近六个月已缴纳的任意一个月的增值税或 营业税或企业所得税的凭据或完税证明；依法 免税的投标人应提供相关证明文件；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提供2024年6月至今至少一个月的社会保障资 金缴存单据或社保机构开具的社会保险参保缴 费情况证明，依法不需要缴纳社会保障资金的 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无违纪声明</w:t>
            </w:r>
          </w:p>
        </w:tc>
        <w:tc>
          <w:tcPr>
            <w:tcW w:type="dxa" w:w="3322"/>
          </w:tcPr>
          <w:p>
            <w:pPr>
              <w:pStyle w:val="null3"/>
            </w:pPr>
            <w:r>
              <w:rPr>
                <w:rFonts w:ascii="仿宋_GB2312" w:hAnsi="仿宋_GB2312" w:cs="仿宋_GB2312" w:eastAsia="仿宋_GB2312"/>
              </w:rPr>
              <w:t>提供参加本次政府采购活动前三年内在经营活 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设备和专业技术能力的书面承诺</w:t>
            </w:r>
          </w:p>
        </w:tc>
        <w:tc>
          <w:tcPr>
            <w:tcW w:type="dxa" w:w="3322"/>
          </w:tcPr>
          <w:p>
            <w:pPr>
              <w:pStyle w:val="null3"/>
            </w:pPr>
            <w:r>
              <w:rPr>
                <w:rFonts w:ascii="仿宋_GB2312" w:hAnsi="仿宋_GB2312" w:cs="仿宋_GB2312" w:eastAsia="仿宋_GB2312"/>
              </w:rPr>
              <w:t>提供具有履行本合同所必须的设备和专业技术 能力的书面承诺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供应商应提供中小企业声明函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 身份证复印件）及被授权人身份证（法定代表 人参加磋商只需提供本人身份证）；其他形式 供应商参照法人企业执行</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标的清单</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无严重违纪</w:t>
            </w:r>
          </w:p>
        </w:tc>
        <w:tc>
          <w:tcPr>
            <w:tcW w:type="dxa" w:w="3322"/>
          </w:tcPr>
          <w:p>
            <w:pPr>
              <w:pStyle w:val="null3"/>
            </w:pPr>
            <w:r>
              <w:rPr>
                <w:rFonts w:ascii="仿宋_GB2312" w:hAnsi="仿宋_GB2312" w:cs="仿宋_GB2312" w:eastAsia="仿宋_GB2312"/>
              </w:rPr>
              <w:t>供应商不得为“信用中国”网站（www.creditch ina.gov.cn）中列入失信被执行人和重大税收 违法案件当事人名单的供应商，不得为中国政 府采购网（www.ccgp.gov.cn）政府采购严重 违法失信行为记录名单中被财政部门禁止参加 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联合体及分包声明</w:t>
            </w:r>
          </w:p>
        </w:tc>
        <w:tc>
          <w:tcPr>
            <w:tcW w:type="dxa" w:w="3322"/>
          </w:tcPr>
          <w:p>
            <w:pPr>
              <w:pStyle w:val="null3"/>
            </w:pPr>
            <w:r>
              <w:rPr>
                <w:rFonts w:ascii="仿宋_GB2312" w:hAnsi="仿宋_GB2312" w:cs="仿宋_GB2312" w:eastAsia="仿宋_GB2312"/>
              </w:rPr>
              <w:t>本项目不接受联合体响应，不允许分包（提供 非联合体及不分包声明）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供应商应提交的相关资格证明材料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报价表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产品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针对各阶段的工作具有合理可靠的 质量、安全、进度等的技术保证措 施，能够完全满足或优于项目要求 计5-3分，基本满足项目需求计2-1 分，不能满足项目需求计0分）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项目实施进度计划合理，可操作性 强，针对特殊情况有应急方案及措 施，据响应程度综合计分（0-5）</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（1）提供复印件加盖公章) (2)根 据服务团队人员实力(职称环评、环 保工程师证书等)，据响应程度综合 计分（0-11分）。 (提供人员证书 、社保的复印件或者社保局相关证 明加盖公章)</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针对本项目制订总体方案：方案描 述详细，架构完整，满足国家规范 及磋商文件要求，能充分体现项目 需求计21-30分；总体方案描述一 般，基本满足的计11-20分；总体 方案描述不详细，较差的计0～10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服务工作重点、难点 分析</w:t>
            </w:r>
          </w:p>
        </w:tc>
        <w:tc>
          <w:tcPr>
            <w:tcW w:type="dxa" w:w="2492"/>
          </w:tcPr>
          <w:p>
            <w:pPr>
              <w:pStyle w:val="null3"/>
            </w:pPr>
            <w:r>
              <w:rPr>
                <w:rFonts w:ascii="仿宋_GB2312" w:hAnsi="仿宋_GB2312" w:cs="仿宋_GB2312" w:eastAsia="仿宋_GB2312"/>
              </w:rPr>
              <w:t>对本项目工作重点、难点的分析清 晰明确、详细具体、有针对性，并 有相应的解决方案，根据响应程度 综合计分（0-10分）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针对本项目服务特点具有合理可行 的应急措施预案，根据响应程度综 合计分（0-5分）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针对本项目服务工作所提出的合理 化建议的全面性、可行性、必要性 等情况进行综合赋分。根据响应程 度综合计分（0-5分）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供应商提供2020年至今的类似项 目业绩，每提供1份得3分，最高得 9分。业绩证明（以磋商响应文件 中提供的合同或中标通知书为准） 弄虚作假者，取消其中标资格。本 项最高得9分。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 最低的评标价格 合格供应商的有效 价格得分=（评标基准价/评标价格 )×20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