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版本号：ZCSP-渭南市-2025-0065820250729001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渭南市PM2.5和O3污染协同防控“一市一策”跟踪研究项目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ZCSP-渭南市-2025-00658</w:t>
      </w:r>
      <w:r>
        <w:br/>
      </w:r>
      <w:r>
        <w:br/>
      </w:r>
      <w:r>
        <w:br/>
      </w:r>
    </w:p>
    <w:p>
      <w:pPr>
        <w:pStyle w:val="null3"/>
        <w:jc w:val="center"/>
        <w:outlineLvl w:val="2"/>
      </w:pPr>
      <w:r>
        <w:rPr>
          <w:rFonts w:ascii="仿宋_GB2312" w:hAnsi="仿宋_GB2312" w:cs="仿宋_GB2312" w:eastAsia="仿宋_GB2312"/>
          <w:sz w:val="28"/>
          <w:b/>
        </w:rPr>
        <w:t>渭南市环境科学研究中心</w:t>
      </w:r>
    </w:p>
    <w:p>
      <w:pPr>
        <w:pStyle w:val="null3"/>
        <w:jc w:val="center"/>
        <w:outlineLvl w:val="2"/>
      </w:pPr>
      <w:r>
        <w:rPr>
          <w:rFonts w:ascii="仿宋_GB2312" w:hAnsi="仿宋_GB2312" w:cs="仿宋_GB2312" w:eastAsia="仿宋_GB2312"/>
          <w:sz w:val="28"/>
          <w:b/>
        </w:rPr>
        <w:t>陕西金字招标有限责任公司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陕西金字招标有限责任公司</w:t>
      </w:r>
      <w:r>
        <w:rPr>
          <w:rFonts w:ascii="仿宋_GB2312" w:hAnsi="仿宋_GB2312" w:cs="仿宋_GB2312" w:eastAsia="仿宋_GB2312"/>
        </w:rPr>
        <w:t>（以下简称“代理机构”）受</w:t>
      </w:r>
      <w:r>
        <w:rPr>
          <w:rFonts w:ascii="仿宋_GB2312" w:hAnsi="仿宋_GB2312" w:cs="仿宋_GB2312" w:eastAsia="仿宋_GB2312"/>
        </w:rPr>
        <w:t>渭南市环境科学研究中心</w:t>
      </w:r>
      <w:r>
        <w:rPr>
          <w:rFonts w:ascii="仿宋_GB2312" w:hAnsi="仿宋_GB2312" w:cs="仿宋_GB2312" w:eastAsia="仿宋_GB2312"/>
        </w:rPr>
        <w:t>委托，拟对</w:t>
      </w:r>
      <w:r>
        <w:rPr>
          <w:rFonts w:ascii="仿宋_GB2312" w:hAnsi="仿宋_GB2312" w:cs="仿宋_GB2312" w:eastAsia="仿宋_GB2312"/>
        </w:rPr>
        <w:t>渭南市PM2.5和O3污染协同防控“一市一策”跟踪研究项目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ZCSP-渭南市-2025-00658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渭南市PM2.5和O3污染协同防控“一市一策”跟踪研究项目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开展PM2.5和O3污染协同防控“一市一策”跟踪研究工作，采用专家团队驻场咨询服务和设备监测监控溯源服务相结合的模式，通过先进的监测设备、科学有效的技术手段和驻场服务团队跟踪研究，制定大气污染防治路线，对我市大气污染动态实时评估，为科学治污以及大气污染防治量化考核提供依据，实现区域空气环境质量改善。</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具有独立承担民事责任能力的法人、其他组织或自然人：企业法人或其他组织应在中华人民共和国境内注册，依法取得并有效存续的营业执照（含电子营业执照）\事业单位法人证书\民办非企业单位登记证书\非企业专业服务机构执业许可证\其他合法登记证明文件等；自然人应提供身份证。</w:t>
      </w:r>
    </w:p>
    <w:p>
      <w:pPr>
        <w:pStyle w:val="null3"/>
      </w:pPr>
      <w:r>
        <w:rPr>
          <w:rFonts w:ascii="仿宋_GB2312" w:hAnsi="仿宋_GB2312" w:cs="仿宋_GB2312" w:eastAsia="仿宋_GB2312"/>
        </w:rPr>
        <w:t>2、财务状况报告：提供2023或2024年度经审计的财务报告（至少包括审计报告、资产负债表和利润表，成立时间至提交投标文件截止时间不足一年的可提供成立后任意时段的资产负债表）或其开标前三个月内基本存款账户开户银行出具的资信证明。</w:t>
      </w:r>
    </w:p>
    <w:p>
      <w:pPr>
        <w:pStyle w:val="null3"/>
      </w:pPr>
      <w:r>
        <w:rPr>
          <w:rFonts w:ascii="仿宋_GB2312" w:hAnsi="仿宋_GB2312" w:cs="仿宋_GB2312" w:eastAsia="仿宋_GB2312"/>
        </w:rPr>
        <w:t>3、信用记录：提供《供应商信用记录书面声明函》，供应商参加本次政府采购活动前三年内在经营活动中没有重大违法记录；供应商未被列入“信用中国”网站记录的“严重失信主体”或“重大税收违法案件当事人”名单；未被列入“中国执行信息公开网”记录的“失信被执行人”名单；不处于“中国政府采购网”记录的“政府采购严重违法失信行为信息记录名单”中的禁止参加政府采购活动期间。</w:t>
      </w:r>
    </w:p>
    <w:p>
      <w:pPr>
        <w:pStyle w:val="null3"/>
      </w:pPr>
      <w:r>
        <w:rPr>
          <w:rFonts w:ascii="仿宋_GB2312" w:hAnsi="仿宋_GB2312" w:cs="仿宋_GB2312" w:eastAsia="仿宋_GB2312"/>
        </w:rPr>
        <w:t>4、社会保障资金缴纳证明：提供递交响应文件截止之日前一年内已缴存的至少连续三个月的社会保障资金缴存单据或社保机构开具的社会保险参保缴费情况证明，依法不需要缴纳社会保障资金的投标人应提供相关文件证明。</w:t>
      </w:r>
    </w:p>
    <w:p>
      <w:pPr>
        <w:pStyle w:val="null3"/>
      </w:pPr>
      <w:r>
        <w:rPr>
          <w:rFonts w:ascii="仿宋_GB2312" w:hAnsi="仿宋_GB2312" w:cs="仿宋_GB2312" w:eastAsia="仿宋_GB2312"/>
        </w:rPr>
        <w:t>5、税收缴纳证明：提供递交响应文件截止之日前一年内任意三个月的依法缴纳税收的相关凭据（时间以税款所属日期为准、税种须包含增值税或企业所得税），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6、书面声明：提供具有履行本合同所必需的设备、人员和专业技术能力的书面声明。</w:t>
      </w:r>
    </w:p>
    <w:p>
      <w:pPr>
        <w:pStyle w:val="null3"/>
      </w:pPr>
      <w:r>
        <w:rPr>
          <w:rFonts w:ascii="仿宋_GB2312" w:hAnsi="仿宋_GB2312" w:cs="仿宋_GB2312" w:eastAsia="仿宋_GB2312"/>
        </w:rPr>
        <w:t>7、法定代表人（主要负责人）身份证明/授权委托书：法定代表人（主要负责人）委托代理人参加投标时，应提供法定代表人（主要负责人）委托授权书；法定代表人（主要负责人）亲自参加投标时，应提供法定代表人（主要负责人）身份证明书。注：行业分支机构在参与投标时，须同时提供分支机构主体资格证明文件和总公司（总所）出具的授权书，总公司（总所）只能授权一家分支机构。经总公司（总所）授权后，总公司（总所）取得的相关资质证书对分支机构有效（法律法规或行业另有规定的除外）。</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渭南市环境科学研究中心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渭南市朝阳大街中段市环保局</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0913-2072972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陕西金字招标有限责任公司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渭南市临渭区前进路乐天国际A座1906室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许工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0913-2053595、18791337953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采购包1：4,900,000.00元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采购包1保证金金额：60,000.00元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开户名称：陕西金字招标有限责任公司</w:t>
            </w:r>
          </w:p>
          <w:p>
            <w:pPr>
              <w:pStyle w:val="null3"/>
            </w:pPr>
            <w:r>
              <w:rPr>
                <w:rFonts w:ascii="仿宋_GB2312" w:hAnsi="仿宋_GB2312" w:cs="仿宋_GB2312" w:eastAsia="仿宋_GB2312"/>
              </w:rPr>
              <w:t>开户银行：浙江网商银行股份有限公司</w:t>
            </w:r>
          </w:p>
          <w:p>
            <w:pPr>
              <w:pStyle w:val="null3"/>
            </w:pPr>
            <w:r>
              <w:rPr>
                <w:rFonts w:ascii="仿宋_GB2312" w:hAnsi="仿宋_GB2312" w:cs="仿宋_GB2312" w:eastAsia="仿宋_GB2312"/>
              </w:rPr>
              <w:t>银行账号：8888888167310240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计算方法参考国家计委计价格【2002】1980号文件及发改办价格【2003】857号文件，发改价格【2011】534号文件。代理服务费以中标价为基数计算，在成交供应商领取成交通知书时向招标代理单位足额支付。（本项目属于服务类项目）</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渭南市环境科学研究中心</w:t>
      </w:r>
      <w:r>
        <w:rPr>
          <w:rFonts w:ascii="仿宋_GB2312" w:hAnsi="仿宋_GB2312" w:cs="仿宋_GB2312" w:eastAsia="仿宋_GB2312"/>
        </w:rPr>
        <w:t>和</w:t>
      </w:r>
      <w:r>
        <w:rPr>
          <w:rFonts w:ascii="仿宋_GB2312" w:hAnsi="仿宋_GB2312" w:cs="仿宋_GB2312" w:eastAsia="仿宋_GB2312"/>
        </w:rPr>
        <w:t>陕西金字招标有限责任公司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渭南市环境科学研究中心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陕西金字招标有限责任公司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渭南市环境科学研究中心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陕西金字招标有限责任公司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陕西金字招标有限责任公司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陕西金字招标有限责任公司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陕西金字招标有限责任公司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联系人：许工</w:t>
      </w:r>
    </w:p>
    <w:p>
      <w:pPr>
        <w:pStyle w:val="null3"/>
      </w:pPr>
      <w:r>
        <w:rPr>
          <w:rFonts w:ascii="仿宋_GB2312" w:hAnsi="仿宋_GB2312" w:cs="仿宋_GB2312" w:eastAsia="仿宋_GB2312"/>
        </w:rPr>
        <w:t>联系电话：18791337953</w:t>
      </w:r>
    </w:p>
    <w:p>
      <w:pPr>
        <w:pStyle w:val="null3"/>
      </w:pPr>
      <w:r>
        <w:rPr>
          <w:rFonts w:ascii="仿宋_GB2312" w:hAnsi="仿宋_GB2312" w:cs="仿宋_GB2312" w:eastAsia="仿宋_GB2312"/>
        </w:rPr>
        <w:t>地址：渭南市临渭区前进路乐天国际A座1906室</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开展PM2.5和O3污染协同防控“一市一策”跟踪研究工作，采用专家团队驻场咨询服务和设备监测监控溯源服务相结合的模式，通过先进的监测设备、科学有效的技术手段和驻场服务团队跟踪研究，制定大气污染防治路线，对我市大气污染动态实时评估，为科学治污以及大气污染防治量化考核提供依据，实现区域空气环境质量改善。</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4,900,000.00</w:t>
      </w:r>
    </w:p>
    <w:p>
      <w:pPr>
        <w:pStyle w:val="null3"/>
      </w:pPr>
      <w:r>
        <w:rPr>
          <w:rFonts w:ascii="仿宋_GB2312" w:hAnsi="仿宋_GB2312" w:cs="仿宋_GB2312" w:eastAsia="仿宋_GB2312"/>
        </w:rPr>
        <w:t>采购包最高限价（元）: 4,900,000.00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渭南市PM2.5和O3污染协同防控“一市一策”跟踪研究项目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4,900,000.00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标的名称：渭南市PM2.5和O3污染协同防控“一市一策”跟踪研究项目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40"/>
              <w:jc w:val="both"/>
            </w:pPr>
            <w:r>
              <w:rPr>
                <w:rFonts w:ascii="仿宋_GB2312" w:hAnsi="仿宋_GB2312" w:cs="仿宋_GB2312" w:eastAsia="仿宋_GB2312"/>
                <w:sz w:val="15"/>
              </w:rPr>
              <w:t>一、基本要求</w:t>
            </w:r>
          </w:p>
          <w:p>
            <w:pPr>
              <w:pStyle w:val="null3"/>
              <w:ind w:firstLine="640"/>
              <w:jc w:val="both"/>
            </w:pPr>
            <w:r>
              <w:rPr>
                <w:rFonts w:ascii="仿宋_GB2312" w:hAnsi="仿宋_GB2312" w:cs="仿宋_GB2312" w:eastAsia="仿宋_GB2312"/>
                <w:sz w:val="15"/>
              </w:rPr>
              <w:t>1、功能要求：开展PM</w:t>
            </w:r>
            <w:r>
              <w:rPr>
                <w:rFonts w:ascii="仿宋_GB2312" w:hAnsi="仿宋_GB2312" w:cs="仿宋_GB2312" w:eastAsia="仿宋_GB2312"/>
                <w:sz w:val="15"/>
                <w:vertAlign w:val="subscript"/>
              </w:rPr>
              <w:t>2.5</w:t>
            </w:r>
            <w:r>
              <w:rPr>
                <w:rFonts w:ascii="仿宋_GB2312" w:hAnsi="仿宋_GB2312" w:cs="仿宋_GB2312" w:eastAsia="仿宋_GB2312"/>
                <w:sz w:val="15"/>
              </w:rPr>
              <w:t>和O</w:t>
            </w:r>
            <w:r>
              <w:rPr>
                <w:rFonts w:ascii="仿宋_GB2312" w:hAnsi="仿宋_GB2312" w:cs="仿宋_GB2312" w:eastAsia="仿宋_GB2312"/>
                <w:sz w:val="15"/>
                <w:vertAlign w:val="subscript"/>
              </w:rPr>
              <w:t>3</w:t>
            </w:r>
            <w:r>
              <w:rPr>
                <w:rFonts w:ascii="仿宋_GB2312" w:hAnsi="仿宋_GB2312" w:cs="仿宋_GB2312" w:eastAsia="仿宋_GB2312"/>
                <w:sz w:val="15"/>
              </w:rPr>
              <w:t>污染协同防控“一市一策”跟踪研究工作，采用专家团队驻场咨询服务和设备监测监控溯源服务相结合的模式，通过先进的监测设备、科学有效的技术手段和驻场服务团队跟踪研究，制定大气污染防治路线，对我市大气污染动态实时评估，为科学治污以及大气污染防治量化考核提供依据，实现区域空气环境质量改善。</w:t>
            </w:r>
          </w:p>
          <w:p>
            <w:pPr>
              <w:pStyle w:val="null3"/>
              <w:ind w:firstLine="640"/>
              <w:jc w:val="both"/>
            </w:pPr>
            <w:r>
              <w:rPr>
                <w:rFonts w:ascii="仿宋_GB2312" w:hAnsi="仿宋_GB2312" w:cs="仿宋_GB2312" w:eastAsia="仿宋_GB2312"/>
              </w:rPr>
              <w:t>2</w:t>
            </w:r>
            <w:r>
              <w:rPr>
                <w:rFonts w:ascii="仿宋_GB2312" w:hAnsi="仿宋_GB2312" w:cs="仿宋_GB2312" w:eastAsia="仿宋_GB2312"/>
                <w:sz w:val="15"/>
              </w:rPr>
              <w:t>、服务期限：1年</w:t>
            </w:r>
          </w:p>
          <w:p>
            <w:pPr>
              <w:pStyle w:val="null3"/>
              <w:ind w:firstLine="640"/>
              <w:jc w:val="both"/>
            </w:pPr>
            <w:r>
              <w:rPr>
                <w:rFonts w:ascii="仿宋_GB2312" w:hAnsi="仿宋_GB2312" w:cs="仿宋_GB2312" w:eastAsia="仿宋_GB2312"/>
                <w:sz w:val="15"/>
              </w:rPr>
              <w:t>3、服务地点：渭南市</w:t>
            </w:r>
          </w:p>
          <w:p>
            <w:pPr>
              <w:pStyle w:val="null3"/>
              <w:ind w:firstLine="640"/>
              <w:jc w:val="both"/>
            </w:pPr>
            <w:r>
              <w:rPr>
                <w:rFonts w:ascii="仿宋_GB2312" w:hAnsi="仿宋_GB2312" w:cs="仿宋_GB2312" w:eastAsia="仿宋_GB2312"/>
                <w:sz w:val="15"/>
              </w:rPr>
              <w:t>二、需执行的国家相关标准、行业标准、地方标准或者其他标准、规范标准</w:t>
            </w:r>
          </w:p>
          <w:p>
            <w:pPr>
              <w:pStyle w:val="null3"/>
              <w:ind w:firstLine="640"/>
              <w:jc w:val="both"/>
            </w:pPr>
            <w:r>
              <w:rPr>
                <w:rFonts w:ascii="仿宋_GB2312" w:hAnsi="仿宋_GB2312" w:cs="仿宋_GB2312" w:eastAsia="仿宋_GB2312"/>
                <w:sz w:val="15"/>
              </w:rPr>
              <w:t>满足国家相关技术标准、规范和项目实施要求，满足采购人需求。符合国家现行标准，国家相关标准、行业标准、地方标准或者其他标准、规范。</w:t>
            </w:r>
          </w:p>
          <w:p>
            <w:pPr>
              <w:pStyle w:val="null3"/>
              <w:ind w:firstLine="640"/>
              <w:jc w:val="both"/>
            </w:pPr>
            <w:r>
              <w:rPr>
                <w:rFonts w:ascii="仿宋_GB2312" w:hAnsi="仿宋_GB2312" w:cs="仿宋_GB2312" w:eastAsia="仿宋_GB2312"/>
                <w:sz w:val="15"/>
              </w:rPr>
              <w:t>★三、服务指标的具体要求</w:t>
            </w:r>
          </w:p>
          <w:p>
            <w:pPr>
              <w:pStyle w:val="null3"/>
              <w:ind w:firstLine="640"/>
              <w:jc w:val="both"/>
            </w:pPr>
            <w:r>
              <w:rPr>
                <w:rFonts w:ascii="仿宋_GB2312" w:hAnsi="仿宋_GB2312" w:cs="仿宋_GB2312" w:eastAsia="仿宋_GB2312"/>
                <w:sz w:val="15"/>
              </w:rPr>
              <w:t>（1）数字化管控智能云平台(含指挥调度场景)服务1年</w:t>
            </w:r>
          </w:p>
          <w:p>
            <w:pPr>
              <w:pStyle w:val="null3"/>
              <w:ind w:firstLine="640"/>
              <w:jc w:val="both"/>
            </w:pPr>
            <w:r>
              <w:rPr>
                <w:rFonts w:ascii="仿宋_GB2312" w:hAnsi="仿宋_GB2312" w:cs="仿宋_GB2312" w:eastAsia="仿宋_GB2312"/>
                <w:sz w:val="15"/>
              </w:rPr>
              <w:t>（2）精细化管控场景服务1年</w:t>
            </w:r>
          </w:p>
          <w:p>
            <w:pPr>
              <w:pStyle w:val="null3"/>
              <w:ind w:firstLine="640"/>
              <w:jc w:val="both"/>
            </w:pPr>
            <w:r>
              <w:rPr>
                <w:rFonts w:ascii="仿宋_GB2312" w:hAnsi="仿宋_GB2312" w:cs="仿宋_GB2312" w:eastAsia="仿宋_GB2312"/>
                <w:sz w:val="15"/>
              </w:rPr>
              <w:t>（3）AI+无人机智能溯源场景服务1年</w:t>
            </w:r>
          </w:p>
          <w:p>
            <w:pPr>
              <w:pStyle w:val="null3"/>
              <w:ind w:firstLine="640"/>
              <w:jc w:val="both"/>
            </w:pPr>
            <w:r>
              <w:rPr>
                <w:rFonts w:ascii="仿宋_GB2312" w:hAnsi="仿宋_GB2312" w:cs="仿宋_GB2312" w:eastAsia="仿宋_GB2312"/>
                <w:sz w:val="15"/>
              </w:rPr>
              <w:t>（4）重污染应急指挥场景服务1年</w:t>
            </w:r>
          </w:p>
          <w:p>
            <w:pPr>
              <w:pStyle w:val="null3"/>
              <w:ind w:firstLine="640"/>
              <w:jc w:val="both"/>
            </w:pPr>
            <w:r>
              <w:rPr>
                <w:rFonts w:ascii="仿宋_GB2312" w:hAnsi="仿宋_GB2312" w:cs="仿宋_GB2312" w:eastAsia="仿宋_GB2312"/>
                <w:sz w:val="15"/>
              </w:rPr>
              <w:t>（5）激光雷达分析报告≥200篇</w:t>
            </w:r>
          </w:p>
          <w:p>
            <w:pPr>
              <w:pStyle w:val="null3"/>
              <w:ind w:firstLine="640"/>
              <w:jc w:val="both"/>
            </w:pPr>
            <w:r>
              <w:rPr>
                <w:rFonts w:ascii="仿宋_GB2312" w:hAnsi="仿宋_GB2312" w:cs="仿宋_GB2312" w:eastAsia="仿宋_GB2312"/>
                <w:sz w:val="15"/>
              </w:rPr>
              <w:t>（6）空气质量日报≥300篇</w:t>
            </w:r>
          </w:p>
          <w:p>
            <w:pPr>
              <w:pStyle w:val="null3"/>
              <w:ind w:firstLine="640"/>
              <w:jc w:val="both"/>
            </w:pPr>
            <w:r>
              <w:rPr>
                <w:rFonts w:ascii="仿宋_GB2312" w:hAnsi="仿宋_GB2312" w:cs="仿宋_GB2312" w:eastAsia="仿宋_GB2312"/>
                <w:sz w:val="15"/>
              </w:rPr>
              <w:t xml:space="preserve">（7）空气质量周报≥45篇 </w:t>
            </w:r>
          </w:p>
          <w:p>
            <w:pPr>
              <w:pStyle w:val="null3"/>
              <w:ind w:firstLine="640"/>
              <w:jc w:val="both"/>
            </w:pPr>
            <w:r>
              <w:rPr>
                <w:rFonts w:ascii="仿宋_GB2312" w:hAnsi="仿宋_GB2312" w:cs="仿宋_GB2312" w:eastAsia="仿宋_GB2312"/>
                <w:sz w:val="15"/>
              </w:rPr>
              <w:t>（8）空气质量月报≥12篇</w:t>
            </w:r>
          </w:p>
          <w:p>
            <w:pPr>
              <w:pStyle w:val="null3"/>
              <w:ind w:firstLine="640"/>
              <w:jc w:val="both"/>
            </w:pPr>
            <w:r>
              <w:rPr>
                <w:rFonts w:ascii="仿宋_GB2312" w:hAnsi="仿宋_GB2312" w:cs="仿宋_GB2312" w:eastAsia="仿宋_GB2312"/>
                <w:sz w:val="15"/>
              </w:rPr>
              <w:t>（9）道路积尘监测报告≥24篇</w:t>
            </w:r>
          </w:p>
          <w:p>
            <w:pPr>
              <w:pStyle w:val="null3"/>
              <w:ind w:firstLine="640"/>
              <w:jc w:val="both"/>
            </w:pPr>
            <w:r>
              <w:rPr>
                <w:rFonts w:ascii="仿宋_GB2312" w:hAnsi="仿宋_GB2312" w:cs="仿宋_GB2312" w:eastAsia="仿宋_GB2312"/>
                <w:sz w:val="15"/>
              </w:rPr>
              <w:t>（10）六参数监测报告≥30篇</w:t>
            </w:r>
          </w:p>
          <w:p>
            <w:pPr>
              <w:pStyle w:val="null3"/>
              <w:ind w:firstLine="640"/>
              <w:jc w:val="both"/>
            </w:pPr>
            <w:r>
              <w:rPr>
                <w:rFonts w:ascii="仿宋_GB2312" w:hAnsi="仿宋_GB2312" w:cs="仿宋_GB2312" w:eastAsia="仿宋_GB2312"/>
                <w:sz w:val="15"/>
              </w:rPr>
              <w:t>（11）VOCs走航服务≥20天</w:t>
            </w:r>
          </w:p>
          <w:p>
            <w:pPr>
              <w:pStyle w:val="null3"/>
              <w:ind w:firstLine="640"/>
              <w:jc w:val="both"/>
            </w:pPr>
            <w:r>
              <w:rPr>
                <w:rFonts w:ascii="仿宋_GB2312" w:hAnsi="仿宋_GB2312" w:cs="仿宋_GB2312" w:eastAsia="仿宋_GB2312"/>
                <w:sz w:val="15"/>
              </w:rPr>
              <w:t>（12）渭南市PM</w:t>
            </w:r>
            <w:r>
              <w:rPr>
                <w:rFonts w:ascii="仿宋_GB2312" w:hAnsi="仿宋_GB2312" w:cs="仿宋_GB2312" w:eastAsia="仿宋_GB2312"/>
                <w:sz w:val="15"/>
                <w:vertAlign w:val="subscript"/>
              </w:rPr>
              <w:t>2.5</w:t>
            </w:r>
            <w:r>
              <w:rPr>
                <w:rFonts w:ascii="仿宋_GB2312" w:hAnsi="仿宋_GB2312" w:cs="仿宋_GB2312" w:eastAsia="仿宋_GB2312"/>
                <w:sz w:val="15"/>
              </w:rPr>
              <w:t>和O</w:t>
            </w:r>
            <w:r>
              <w:rPr>
                <w:rFonts w:ascii="仿宋_GB2312" w:hAnsi="仿宋_GB2312" w:cs="仿宋_GB2312" w:eastAsia="仿宋_GB2312"/>
                <w:sz w:val="15"/>
                <w:vertAlign w:val="subscript"/>
              </w:rPr>
              <w:t>3</w:t>
            </w:r>
            <w:r>
              <w:rPr>
                <w:rFonts w:ascii="仿宋_GB2312" w:hAnsi="仿宋_GB2312" w:cs="仿宋_GB2312" w:eastAsia="仿宋_GB2312"/>
                <w:sz w:val="15"/>
              </w:rPr>
              <w:t>污染协同防控方案1份</w:t>
            </w:r>
          </w:p>
          <w:p>
            <w:pPr>
              <w:pStyle w:val="null3"/>
              <w:ind w:firstLine="640"/>
              <w:jc w:val="both"/>
            </w:pPr>
            <w:r>
              <w:rPr>
                <w:rFonts w:ascii="仿宋_GB2312" w:hAnsi="仿宋_GB2312" w:cs="仿宋_GB2312" w:eastAsia="仿宋_GB2312"/>
                <w:sz w:val="15"/>
              </w:rPr>
              <w:t>（13）卫星火点监控服务1年</w:t>
            </w:r>
          </w:p>
          <w:p>
            <w:pPr>
              <w:pStyle w:val="null3"/>
              <w:ind w:firstLine="640"/>
              <w:jc w:val="both"/>
            </w:pPr>
            <w:r>
              <w:rPr>
                <w:rFonts w:ascii="仿宋_GB2312" w:hAnsi="仿宋_GB2312" w:cs="仿宋_GB2312" w:eastAsia="仿宋_GB2312"/>
                <w:sz w:val="15"/>
              </w:rPr>
              <w:t>四、拟投入本项目的费用测算</w:t>
            </w:r>
          </w:p>
          <w:p>
            <w:pPr>
              <w:pStyle w:val="null3"/>
              <w:ind w:firstLine="640"/>
              <w:jc w:val="both"/>
            </w:pPr>
            <w:r>
              <w:rPr>
                <w:rFonts w:ascii="仿宋_GB2312" w:hAnsi="仿宋_GB2312" w:cs="仿宋_GB2312" w:eastAsia="仿宋_GB2312"/>
                <w:sz w:val="15"/>
              </w:rPr>
              <w:t>本次采购预算490万元，包括本次项目所需的人工费、服务费、管理费、税金等所有费用。</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项目团队人员配置合理，满足项目需求。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拟投入本项目的主要支撑装备包含但不限于：气溶胶激光雷达、无人机、VOCs 走航车、道路积尘检测设备、 现场监测仪器、现场巡查车辆等设备。</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合同签订生效后1年。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陕西省渭南市</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报告数量完成率≥98%；（2）对管控服务的满意度≥90%；（3）由采购人负责组织验收，或者邀请有关专家、质检机构共同进行验收:验收合格须交接项目实施的全部资料，并填写政府采购项目验收报告单。验收须以合同、招标文件及投标文件、澄清、及国家相应的标准、规范等为依据。</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项目合同签订后支付40%；每次付款前，乙方需开具与待付款金额等额的增值税专用发票；在本合同履约期间，如合同内容中有甲方取消部分或无需实施的工作，结算时予以扣除 </w:t>
      </w:r>
      <w:r>
        <w:rPr>
          <w:rFonts w:ascii="仿宋_GB2312" w:hAnsi="仿宋_GB2312" w:cs="仿宋_GB2312" w:eastAsia="仿宋_GB2312"/>
        </w:rPr>
        <w:t xml:space="preserve"> ，达到付款条件起 </w:t>
      </w:r>
      <w:r>
        <w:rPr>
          <w:rFonts w:ascii="仿宋_GB2312" w:hAnsi="仿宋_GB2312" w:cs="仿宋_GB2312" w:eastAsia="仿宋_GB2312"/>
        </w:rPr>
        <w:t>25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提交完相关资料报告，通过采购人验收合格后支付合同总价款的60%。每次付款前，乙方需开具与待付款金额等额的增值税专用发票；在本合同履约期间，如合同内容中有甲方取消部分或无需实施的工作，结算时予以扣除</w:t>
      </w:r>
      <w:r>
        <w:rPr>
          <w:rFonts w:ascii="仿宋_GB2312" w:hAnsi="仿宋_GB2312" w:cs="仿宋_GB2312" w:eastAsia="仿宋_GB2312"/>
        </w:rPr>
        <w:t xml:space="preserve"> ，达到付款条件起 </w:t>
      </w:r>
      <w:r>
        <w:rPr>
          <w:rFonts w:ascii="仿宋_GB2312" w:hAnsi="仿宋_GB2312" w:cs="仿宋_GB2312" w:eastAsia="仿宋_GB2312"/>
        </w:rPr>
        <w:t>25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违约责任：依据《中华人民共和国民法典》的相关条款和本合同约定，乙方未全面履行合同义务或者发生违约，甲方有权终止合同，依法向乙方进行经济索赔。 合同争议的解决：合同执行中发生争议的，甲乙双方应协商解决。协商达不成一致时，应向甲方所在地人民法院提请诉讼。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供应商具有独立承担民事责任能力的法人、其他组织或自然人</w:t>
            </w:r>
          </w:p>
        </w:tc>
        <w:tc>
          <w:tcPr>
            <w:tcW w:type="dxa" w:w="3322"/>
          </w:tcPr>
          <w:p>
            <w:pPr>
              <w:pStyle w:val="null3"/>
            </w:pPr>
            <w:r>
              <w:rPr>
                <w:rFonts w:ascii="仿宋_GB2312" w:hAnsi="仿宋_GB2312" w:cs="仿宋_GB2312" w:eastAsia="仿宋_GB2312"/>
              </w:rPr>
              <w:t>企业法人或其他组织应在中华人民共和国境内注册，依法取得并有效存续的营业执照（含电子营业执照）\事业单位法人证书\民办非企业单位登记证书\非企业专业服务机构执业许可证\其他合法登记证明文件等；自然人应提供身份证。</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经审计的财务报告（至少包括审计报告、资产负债表和利润表，成立时间至提交投标文件截止时间不足一年的可提供成立后任意时段的资产负债表）或其开标前三个月内基本存款账户开户银行出具的资信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提供《供应商信用记录书面声明函》，供应商参加本次政府采购活动前三年内在经营活动中没有重大违法记录；供应商未被列入“信用中国”网站记录的“严重失信主体”或“重大税收违法案件当事人”名单；未被列入“中国执行信息公开网”记录的“失信被执行人”名单；不处于“中国政府采购网”记录的“政府采购严重违法失信行为信息记录名单”中的禁止参加政府采购活动期间。</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提供递交响应文件截止之日前一年内已缴存的至少连续三个月的社会保障资金缴存单据或社保机构开具的社会保险参保缴费情况证明，依法不需要缴纳社会保障资金的投标人应提供相关文件证明。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一年内任意三个月的依法缴纳税收的相关凭据（时间以税款所属日期为准、税种须包含增值税或企业所得税），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提供具有履行本合同所必需的设备、人员和专业技术能力的书面声明。</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法定代表人（主要负责人）身份证明/授权委托书</w:t>
            </w:r>
          </w:p>
        </w:tc>
        <w:tc>
          <w:tcPr>
            <w:tcW w:type="dxa" w:w="3322"/>
          </w:tcPr>
          <w:p>
            <w:pPr>
              <w:pStyle w:val="null3"/>
            </w:pPr>
            <w:r>
              <w:rPr>
                <w:rFonts w:ascii="仿宋_GB2312" w:hAnsi="仿宋_GB2312" w:cs="仿宋_GB2312" w:eastAsia="仿宋_GB2312"/>
              </w:rPr>
              <w:t>法定代表人（主要负责人）委托代理人参加投标时，应提供法定代表人（主要负责人）委托授权书；法定代表人（主要负责人）亲自参加投标时，应提供法定代表人（主要负责人）身份证明书。注：行业分支机构在参与投标时，须同时提供分支机构主体资格证明文件和总公司（总所）出具的授权书，总公司（总所）只能授权一家分支机构。经总公司（总所）授权后，总公司（总所）取得的相关资质证书对分支机构有效（法律法规或行业另有规定的除外）。</w:t>
            </w:r>
          </w:p>
        </w:tc>
        <w:tc>
          <w:tcPr>
            <w:tcW w:type="dxa" w:w="1661"/>
          </w:tcPr>
          <w:p>
            <w:pPr>
              <w:pStyle w:val="null3"/>
            </w:pPr>
            <w:r>
              <w:rPr>
                <w:rFonts w:ascii="仿宋_GB2312" w:hAnsi="仿宋_GB2312" w:cs="仿宋_GB2312" w:eastAsia="仿宋_GB2312"/>
              </w:rPr>
              <w:t>法定代表人（主要负责人）授权委托书.docx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投标文件签章</w:t>
            </w:r>
          </w:p>
        </w:tc>
        <w:tc>
          <w:tcPr>
            <w:tcW w:type="dxa" w:w="3322"/>
          </w:tcPr>
          <w:p>
            <w:pPr>
              <w:pStyle w:val="null3"/>
            </w:pPr>
            <w:r>
              <w:rPr>
                <w:rFonts w:ascii="仿宋_GB2312" w:hAnsi="仿宋_GB2312" w:cs="仿宋_GB2312" w:eastAsia="仿宋_GB2312"/>
              </w:rPr>
              <w:t>投标文件的签章均符合招标采购文件要求，且无遗漏。</w:t>
            </w:r>
          </w:p>
        </w:tc>
        <w:tc>
          <w:tcPr>
            <w:tcW w:type="dxa" w:w="1661"/>
          </w:tcPr>
          <w:p>
            <w:pPr>
              <w:pStyle w:val="null3"/>
            </w:pPr>
            <w:r>
              <w:rPr>
                <w:rFonts w:ascii="仿宋_GB2312" w:hAnsi="仿宋_GB2312" w:cs="仿宋_GB2312" w:eastAsia="仿宋_GB2312"/>
              </w:rPr>
              <w:t>开标一览表 拟投入本项目的主要专业设备仪器表.docx 服务内容及服务邀请应答表 中小企业声明函 商务应答表 法定代表人（主要负责人）授权委托书.docx 业绩汇总表.docx 供应商承诺书.docx 投标人应提交的相关资格证明材料 投标函 合同文本条款响应.docx 残疾人福利性单位声明函 服务方案 标的清单 投标文件封面 项目团队人员配置情况表.docx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符合招标采购文件的要求。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同时满足以下条款：（1）货币单位符合招标采购文件要求 ；（2）报价符合唯一性要求； （3）未超出采购预算或最高限价 ；（4）符合《开标一览表》及《标的清单》的填报要求</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完全理解并接受对合格供应商、合格的货物、工程或服务要求，结合招标采购文件第三章“招标项目技术、服务、商务及其他要求”的实质性要求且没有负偏离。</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完全理解并接受招标采购文件《拟签订的合同文本》条款的要求，且未有采购人不能接受的附加条件的。</w:t>
            </w:r>
          </w:p>
        </w:tc>
        <w:tc>
          <w:tcPr>
            <w:tcW w:type="dxa" w:w="1661"/>
          </w:tcPr>
          <w:p>
            <w:pPr>
              <w:pStyle w:val="null3"/>
            </w:pPr>
            <w:r>
              <w:rPr>
                <w:rFonts w:ascii="仿宋_GB2312" w:hAnsi="仿宋_GB2312" w:cs="仿宋_GB2312" w:eastAsia="仿宋_GB2312"/>
              </w:rPr>
              <w:t>合同文本条款响应.docx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拒绝政府采购领域商业贿赂承诺书</w:t>
            </w:r>
          </w:p>
        </w:tc>
        <w:tc>
          <w:tcPr>
            <w:tcW w:type="dxa" w:w="3322"/>
          </w:tcPr>
          <w:p>
            <w:pPr>
              <w:pStyle w:val="null3"/>
            </w:pPr>
            <w:r>
              <w:rPr>
                <w:rFonts w:ascii="仿宋_GB2312" w:hAnsi="仿宋_GB2312" w:cs="仿宋_GB2312" w:eastAsia="仿宋_GB2312"/>
              </w:rPr>
              <w:t>供应商完全理解并接受《拒绝政府采购领域商业贿赂承诺书》。</w:t>
            </w:r>
          </w:p>
        </w:tc>
        <w:tc>
          <w:tcPr>
            <w:tcW w:type="dxa" w:w="1661"/>
          </w:tcPr>
          <w:p>
            <w:pPr>
              <w:pStyle w:val="null3"/>
            </w:pPr>
            <w:r>
              <w:rPr>
                <w:rFonts w:ascii="仿宋_GB2312" w:hAnsi="仿宋_GB2312" w:cs="仿宋_GB2312" w:eastAsia="仿宋_GB2312"/>
              </w:rPr>
              <w:t>供应商承诺书.docx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项目分析方案</w:t>
            </w:r>
          </w:p>
        </w:tc>
        <w:tc>
          <w:tcPr>
            <w:tcW w:type="dxa" w:w="2492"/>
          </w:tcPr>
          <w:p>
            <w:pPr>
              <w:pStyle w:val="null3"/>
            </w:pPr>
            <w:r>
              <w:rPr>
                <w:rFonts w:ascii="仿宋_GB2312" w:hAnsi="仿宋_GB2312" w:cs="仿宋_GB2312" w:eastAsia="仿宋_GB2312"/>
              </w:rPr>
              <w:t>一、评审内容：供应商根据本项目特点提出分析方案，内容包括但不限于①项目重难点分析;②调查区域情况分析;③项目现状分析。 二、评审标准：①全面性：方案内容必须全面，对评审中各项内容进行详细阐述；②可行性：符合项目实际情况，提出步骤清晰、安排合理、内容切实可行的方案；③针对性：需紧密结合项目实际，内容设置科学合理。 三、赋分标准：上述3项评审内容全部满足评审标准得4.5分。每完全满足一个评审标准得0.5分，每项评审内容满分1.5分；方案评审内容存在缺陷的扣0.5分，该项分值扣完为止。 说明：缺陷是指内容不合理、虽有内容但不完善、内容表述前后不一致、套用其他项目方案或与项目需求。</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一、评审内容：供应商根据本项目特点提出项目服务方案，内容包括但不限于①工作目标及思路；②工作步骤与计划；③主要工作内容；④关键点及难点分析。 二、评审标准：①全面性：方案内容必须全面，对评审中各项内容进行详细阐述；②可行性：符合项目实际情况，提出步骤清晰、安排合理、内容切实可行的方案；③针对性：需紧密结合项目实际，内容设置科学合理。 三、赋分标准：上述4项评审内容全部满足评审标准得12分。每完全满足一个评审标准得1分，每项评审内容满分3分；方案评审内容存在缺陷的扣1分，该项分值扣完为止。 说明：缺陷是指内容不合理、虽有内容但不完善、内容表述前后不一致、套用其他项目方案或与项目需求。</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基础软件平台建设方案</w:t>
            </w:r>
          </w:p>
        </w:tc>
        <w:tc>
          <w:tcPr>
            <w:tcW w:type="dxa" w:w="2492"/>
          </w:tcPr>
          <w:p>
            <w:pPr>
              <w:pStyle w:val="null3"/>
            </w:pPr>
            <w:r>
              <w:rPr>
                <w:rFonts w:ascii="仿宋_GB2312" w:hAnsi="仿宋_GB2312" w:cs="仿宋_GB2312" w:eastAsia="仿宋_GB2312"/>
              </w:rPr>
              <w:t>一、评审内容：供应商根据本项目特点提出基础软件平台建设方案，内容包括但不限于①总体架构；②数字化管控智能云平台(含指挥调度场景)；③精细化管控场景；④AI+无人机智能溯源场景；⑤重污染应急指挥场景；⑥卫星火点监控。 二、评审标准：①全面性：方案内容必须全面，对评审中各项内容进行详细阐述；②可行性：符合项目实际情况，提出步骤清晰、安排合理、内容切实可行的方案；③针对性：需紧密结合项目实际，内容设置科学合理。 三、赋分标准：上述6项评审内容全部满足评审标准得18分。每完全满足一个评审标准得1分，每项评审内容满分3分；方案评审内容存在缺陷的扣1分，该项分值扣完为止。 说明：缺陷是指内容不合理、虽有内容但不完善、内容表述前后不一致、套用其他项目方案或与项目需求。</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重点区域污染源管控方案</w:t>
            </w:r>
          </w:p>
        </w:tc>
        <w:tc>
          <w:tcPr>
            <w:tcW w:type="dxa" w:w="2492"/>
          </w:tcPr>
          <w:p>
            <w:pPr>
              <w:pStyle w:val="null3"/>
            </w:pPr>
            <w:r>
              <w:rPr>
                <w:rFonts w:ascii="仿宋_GB2312" w:hAnsi="仿宋_GB2312" w:cs="仿宋_GB2312" w:eastAsia="仿宋_GB2312"/>
              </w:rPr>
              <w:t>一、评审内容：供应商根据本项目特点提出重点区域污染源管控方案，内容包括但不限于①服务内容;②常检查内容和工作规范;③成果输出。 二、评审标准：①全面性：方案内容必须全面，对评审中各项内容进行详细阐述；②可行性：符合项目实际情况，提出步骤清晰、安排合理、内容切实可行的方案；③针对性：需紧密结合项目实际，内容设置科学合理。 三、赋分标准：上述3项评审内容全部满足评审标准得9分。每完全满足一个评审标准得1分，每项评审内容满分3分；方案评审内容存在缺陷的扣1分，该项分值扣完为止。 说明：缺陷是指内容不合理、虽有内容但不完善、内容表述前后不一致、套用其他项目方案或与项目需求。</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走航监测方案</w:t>
            </w:r>
          </w:p>
        </w:tc>
        <w:tc>
          <w:tcPr>
            <w:tcW w:type="dxa" w:w="2492"/>
          </w:tcPr>
          <w:p>
            <w:pPr>
              <w:pStyle w:val="null3"/>
            </w:pPr>
            <w:r>
              <w:rPr>
                <w:rFonts w:ascii="仿宋_GB2312" w:hAnsi="仿宋_GB2312" w:cs="仿宋_GB2312" w:eastAsia="仿宋_GB2312"/>
              </w:rPr>
              <w:t>一、评审内容：供应商根据本项目特点提出走航监测方案，内容包括但不限于①道路积尘走航监测及VOCs走航监测;②六参数走航分析。 二、评审标准：①全面性：方案内容必须全面，对评审中各项内容进行详细阐述；②可行性：符合项目实际情况，提出步骤清晰、安排合理、内容切实可行的方案；③针对性：需紧密结合项目实际，内容设置科学合理。 三、赋分标准：上述2项评审内容全部满足评审标准得3分。每完全满足一个评审标准得0.5分，每项评审内容满分1.5分；方案评审内容存在缺陷的扣0.5分，该项分值扣完为止。 说明：缺陷是指内容不合理、虽有内容但不完善、内容表述前后不一致、套用其他项目方案或与项目需求。</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质量保障措施及应急预案</w:t>
            </w:r>
          </w:p>
        </w:tc>
        <w:tc>
          <w:tcPr>
            <w:tcW w:type="dxa" w:w="2492"/>
          </w:tcPr>
          <w:p>
            <w:pPr>
              <w:pStyle w:val="null3"/>
            </w:pPr>
            <w:r>
              <w:rPr>
                <w:rFonts w:ascii="仿宋_GB2312" w:hAnsi="仿宋_GB2312" w:cs="仿宋_GB2312" w:eastAsia="仿宋_GB2312"/>
              </w:rPr>
              <w:t>一、评审内容：供应商根据本项目特点提出质量保障措施及应急预案，内容包括但不限于①质量控制措施；②进度安排计划及措施；③项目期限与成果；④安全应急保障措施；⑤极端天气应对及人员紧急调度方案。 二、评审标准：①全面性：方案内容必须全面，对评审中各项内容进行详细阐述；②可行性：符合项目实际情况，提出步骤清晰、安排合理、内容切实可行的方案；③针对性：需紧密结合项目实际，内容设置科学合理。 三、赋分标准：上述5项评审内容全部满足评审标准得7.5分。每完全满足一个评审标准得0.5分，每项评审内容满分1.5分；方案评审内容存在缺陷的扣0.5分，该项分值扣完为止。 说明：缺陷是指内容不合理、虽有内容但不完善、内容表述前后不一致、套用其他项目方案或与项目需求。</w:t>
            </w:r>
          </w:p>
        </w:tc>
        <w:tc>
          <w:tcPr>
            <w:tcW w:type="dxa" w:w="831"/>
          </w:tcPr>
          <w:p>
            <w:pPr>
              <w:pStyle w:val="null3"/>
              <w:jc w:val="right"/>
            </w:pPr>
            <w:r>
              <w:rPr>
                <w:rFonts w:ascii="仿宋_GB2312" w:hAnsi="仿宋_GB2312" w:cs="仿宋_GB2312" w:eastAsia="仿宋_GB2312"/>
              </w:rPr>
              <w:t>7.5000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保密方案</w:t>
            </w:r>
          </w:p>
        </w:tc>
        <w:tc>
          <w:tcPr>
            <w:tcW w:type="dxa" w:w="2492"/>
          </w:tcPr>
          <w:p>
            <w:pPr>
              <w:pStyle w:val="null3"/>
            </w:pPr>
            <w:r>
              <w:rPr>
                <w:rFonts w:ascii="仿宋_GB2312" w:hAnsi="仿宋_GB2312" w:cs="仿宋_GB2312" w:eastAsia="仿宋_GB2312"/>
              </w:rPr>
              <w:t>一、评审内容：供应商根据本项目特点提出保密方案，内容包括但不限于①保密制度制定；②涉密文件资料的管理及保密管理人员配备；③泄密责任追究及泄密补救措施。 二、评审标准：①全面性：方案内容必须全面，对评审中各项内容进行详细阐述；②可行性：符合项目实际情况，提出步骤清晰、安排合理、内容切实可行的方案；③针对性：需紧密结合项目实际，内容设置科学合理。 三、赋分标准：上述3项评审内容全部满足评审标准得4.5分。每完全满足一个评审标准得0.5分，每项评审内容满分1.5分；方案评审内容存在缺陷的扣0.5分，该项分值扣完为止。 说明：缺陷是指内容不合理、虽有内容但不完善、内容表述前后不一致、套用其他项目方案或与项目需求。</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 xml:space="preserve"> 一、评审内容：供应商根据本项目特点提出服务承诺，内容包括但不限于①服务及时响应的承诺；②特殊情形问题处理的承诺。 二、评审标准：①全面性：方案内容必须全面，对评审中各项内容进行详细阐述；②可行性：符合项目实际情况，提出步骤清晰、安排合理、内容切实可行的方案；③针对性：需紧密结合项目实际，内容设置科学合理。 三、赋分标准：上述2项评审内容全部满足评审标准得3分。每完全满足一个评审标准得0.5分，每项评审内容满分1.5分；方案评审内容存在缺陷的扣0.5分，该项分值扣完为止。 说明：缺陷是指内容不合理、虽有内容但不完善、内容表述前后不一致、套用其他项目方案或与项目需求。</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装备支撑方案</w:t>
            </w:r>
          </w:p>
        </w:tc>
        <w:tc>
          <w:tcPr>
            <w:tcW w:type="dxa" w:w="2492"/>
          </w:tcPr>
          <w:p>
            <w:pPr>
              <w:pStyle w:val="null3"/>
            </w:pPr>
            <w:r>
              <w:rPr>
                <w:rFonts w:ascii="仿宋_GB2312" w:hAnsi="仿宋_GB2312" w:cs="仿宋_GB2312" w:eastAsia="仿宋_GB2312"/>
              </w:rPr>
              <w:t xml:space="preserve"> 一、评审内容：供应商根据本项目特点提出装备支撑方案，内容包括但不限于①拟投入本项目使用的主要支撑装备；②相关支撑装备管理及使用措施。 二、评审标准：①全面性：方案内容必须全面，对评审中各项内容进行详细阐述；②可行性：符合项目实际情况，提出步骤清晰、安排合理、内容切实可行的方案；③针对性：需紧密结合项目实际，内容设置科学合理。 三、赋分标准：上述2项评审内容全部满足评审标准得6分。每完全满足一个评审标准得1分，每项评审内容满分3分；方案评审内容存在缺陷的扣1分，该项分值扣完为止。 说明：缺陷是指内容不合理、虽有内容但不完善、内容表述前后不一致、套用其他项目方案或与项目需求。</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拟投入本项目的主要专业设备仪器表.docx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一、评审内容：供应商根据本项目特点提出合理化建议，内容包括但不限于①项目合理化建议及相应的对策措施。 二、评审标准：①全面性：方案内容必须全面，对评审中各项内容进行详细阐述；②可行性：符合项目实际情况，提出步骤清晰、安排合理、内容切实可行的方案；③针对性：需紧密结合项目实际，内容设置科学合理。 三、赋分标准：上述1项评审内容全部满足评审标准得1.5分。每完全满足一个评审标准得0.5分，每项评审内容满分1.5分；方案评审内容存在缺陷的扣0.5分，该项分值扣完为止。 说明：缺陷是指内容不合理、虽有内容但不完善、内容表述前后不一致、套用其他项目方案或与项目需求。</w:t>
            </w:r>
          </w:p>
        </w:tc>
        <w:tc>
          <w:tcPr>
            <w:tcW w:type="dxa" w:w="831"/>
          </w:tcPr>
          <w:p>
            <w:pPr>
              <w:pStyle w:val="null3"/>
              <w:jc w:val="right"/>
            </w:pPr>
            <w:r>
              <w:rPr>
                <w:rFonts w:ascii="仿宋_GB2312" w:hAnsi="仿宋_GB2312" w:cs="仿宋_GB2312" w:eastAsia="仿宋_GB2312"/>
              </w:rPr>
              <w:t>1.5000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2022年1月1日起至投标截止日期，具有类似大气污染咨询工作或专题大气评估评价政府采购项目业绩，每提供一个得1分，最高得5分。(提供相应合同、成交通知书、中标公告截图，并加盖公章，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业绩汇总表.docx</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投标人应提交的相关资格证明材料</w:t>
            </w:r>
          </w:p>
        </w:tc>
      </w:tr>
      <w:tr>
        <w:tc>
          <w:tcPr>
            <w:tcW w:type="dxa" w:w="831"/>
            <w:vMerge/>
          </w:tcPr>
          <w:p/>
        </w:tc>
        <w:tc>
          <w:tcPr>
            <w:tcW w:type="dxa" w:w="1661"/>
          </w:tcPr>
          <w:p>
            <w:pPr>
              <w:pStyle w:val="null3"/>
            </w:pPr>
            <w:r>
              <w:rPr>
                <w:rFonts w:ascii="仿宋_GB2312" w:hAnsi="仿宋_GB2312" w:cs="仿宋_GB2312" w:eastAsia="仿宋_GB2312"/>
              </w:rPr>
              <w:t>项目团队配置</w:t>
            </w:r>
          </w:p>
        </w:tc>
        <w:tc>
          <w:tcPr>
            <w:tcW w:type="dxa" w:w="2492"/>
          </w:tcPr>
          <w:p>
            <w:pPr>
              <w:pStyle w:val="null3"/>
            </w:pPr>
            <w:r>
              <w:rPr>
                <w:rFonts w:ascii="仿宋_GB2312" w:hAnsi="仿宋_GB2312" w:cs="仿宋_GB2312" w:eastAsia="仿宋_GB2312"/>
              </w:rPr>
              <w:t>1、拟派项目负责人具有环境类相关专业硕士学历和大气颗粒物组分及光化学在线监测技术与数据分析证书，每提供一项得1分，最高得2分，未提供不得分; 2、团队成员中每配备一名具备环境类相关专业中级及以上技术职称或本科及以上学历的人员得1分;本项最高得4分。 （ 须提供人员身份证复印件、职称证书复印件或资格证书、学位证书复印件，社保缴纳凭证，项目负责人不重复计分。） </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项目团队人员配置情况表.docx</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采购文件要求且投标价格最低的投标报价为评标基准价，其价格分为满分。其他供应商的价格分统一按照以下公式计算：投标报价得分=（评标基准价/投标报价）×20，（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详见附件：合同文本条款响应.docx</w:t>
      </w:r>
    </w:p>
    <w:p>
      <w:pPr>
        <w:pStyle w:val="null3"/>
        <w:ind w:firstLine="960"/>
      </w:pPr>
      <w:r>
        <w:rPr>
          <w:rFonts w:ascii="仿宋_GB2312" w:hAnsi="仿宋_GB2312" w:cs="仿宋_GB2312" w:eastAsia="仿宋_GB2312"/>
        </w:rPr>
        <w:t>详见附件：法定代表人（主要负责人）授权委托书.docx</w:t>
      </w:r>
    </w:p>
    <w:p>
      <w:pPr>
        <w:pStyle w:val="null3"/>
        <w:ind w:firstLine="960"/>
      </w:pPr>
      <w:r>
        <w:rPr>
          <w:rFonts w:ascii="仿宋_GB2312" w:hAnsi="仿宋_GB2312" w:cs="仿宋_GB2312" w:eastAsia="仿宋_GB2312"/>
        </w:rPr>
        <w:t>详见附件：项目团队人员配置情况表.docx</w:t>
      </w:r>
    </w:p>
    <w:p>
      <w:pPr>
        <w:pStyle w:val="null3"/>
        <w:ind w:firstLine="960"/>
      </w:pPr>
      <w:r>
        <w:rPr>
          <w:rFonts w:ascii="仿宋_GB2312" w:hAnsi="仿宋_GB2312" w:cs="仿宋_GB2312" w:eastAsia="仿宋_GB2312"/>
        </w:rPr>
        <w:t>详见附件：业绩汇总表.docx</w:t>
      </w:r>
    </w:p>
    <w:p>
      <w:pPr>
        <w:pStyle w:val="null3"/>
        <w:ind w:firstLine="960"/>
      </w:pPr>
      <w:r>
        <w:rPr>
          <w:rFonts w:ascii="仿宋_GB2312" w:hAnsi="仿宋_GB2312" w:cs="仿宋_GB2312" w:eastAsia="仿宋_GB2312"/>
        </w:rPr>
        <w:t>详见附件：拟投入本项目的主要专业设备仪器表.docx</w:t>
      </w:r>
    </w:p>
    <w:p>
      <w:pPr>
        <w:pStyle w:val="null3"/>
        <w:ind w:firstLine="960"/>
      </w:pPr>
      <w:r>
        <w:rPr>
          <w:rFonts w:ascii="仿宋_GB2312" w:hAnsi="仿宋_GB2312" w:cs="仿宋_GB2312" w:eastAsia="仿宋_GB2312"/>
        </w:rPr>
        <w:t>详见附件：供应商承诺书.docx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