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版本号：ZCSP-渭南市-2025-00540、XHLJZC-WN2025-03520250703001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空气能热水器、防盗门、储物柜等设备采购项目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ZCSP-渭南市-2025-00540、XHLJZC-WN2025-035</w:t>
      </w:r>
      <w:r>
        <w:br/>
      </w:r>
      <w:r>
        <w:br/>
      </w:r>
      <w:r>
        <w:br/>
      </w:r>
    </w:p>
    <w:p>
      <w:pPr>
        <w:pStyle w:val="null3"/>
        <w:jc w:val="center"/>
        <w:outlineLvl w:val="2"/>
      </w:pPr>
      <w:r>
        <w:rPr>
          <w:rFonts w:ascii="仿宋_GB2312" w:hAnsi="仿宋_GB2312" w:cs="仿宋_GB2312" w:eastAsia="仿宋_GB2312"/>
          <w:sz w:val="28"/>
          <w:b/>
        </w:rPr>
        <w:t>渭南市青少年体育运动学校</w:t>
      </w:r>
    </w:p>
    <w:p>
      <w:pPr>
        <w:pStyle w:val="null3"/>
        <w:jc w:val="center"/>
        <w:outlineLvl w:val="2"/>
      </w:pPr>
      <w:r>
        <w:rPr>
          <w:rFonts w:ascii="仿宋_GB2312" w:hAnsi="仿宋_GB2312" w:cs="仿宋_GB2312" w:eastAsia="仿宋_GB2312"/>
          <w:sz w:val="28"/>
          <w:b/>
        </w:rPr>
        <w:t>西安欣华联建工程咨询有限公司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西安欣华联建工程咨询有限公司</w:t>
      </w:r>
      <w:r>
        <w:rPr>
          <w:rFonts w:ascii="仿宋_GB2312" w:hAnsi="仿宋_GB2312" w:cs="仿宋_GB2312" w:eastAsia="仿宋_GB2312"/>
        </w:rPr>
        <w:t>（以下简称“代理机构”）受</w:t>
      </w:r>
      <w:r>
        <w:rPr>
          <w:rFonts w:ascii="仿宋_GB2312" w:hAnsi="仿宋_GB2312" w:cs="仿宋_GB2312" w:eastAsia="仿宋_GB2312"/>
        </w:rPr>
        <w:t>渭南市青少年体育运动学校</w:t>
      </w:r>
      <w:r>
        <w:rPr>
          <w:rFonts w:ascii="仿宋_GB2312" w:hAnsi="仿宋_GB2312" w:cs="仿宋_GB2312" w:eastAsia="仿宋_GB2312"/>
        </w:rPr>
        <w:t>委托，拟对</w:t>
      </w:r>
      <w:r>
        <w:rPr>
          <w:rFonts w:ascii="仿宋_GB2312" w:hAnsi="仿宋_GB2312" w:cs="仿宋_GB2312" w:eastAsia="仿宋_GB2312"/>
        </w:rPr>
        <w:t>空气能热水器、防盗门、储物柜等设备采购项目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ZCSP-渭南市-2025-00540、XHLJZC-WN2025-035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空气能热水器、防盗门、储物柜等设备采购项目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一包：防盗门、储物柜等；二包：空气能热水器，详见招标文件。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采购包1（渭南市青少年体育运动学校空气能热水器、防盗门、储物柜等设备采购项目（一包））：属于专门面向中小企业采购。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应具有独立承担民事责任的能力且具备向采购人提供相关货物及服务的企业法人、其他组织,企业法人应提供统一社会信用代码的营业执照；其他组织应提供合法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3、具有良好的商业信誉和健全的财务会计制度：提供2023年度经审计的财务报告或开标前六个月内其基本账户银行出具的资信证明或财政部门认可的政府采购专业担保机构出具的担保函；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4、有依法缴纳税收和社会保障资金的良好记录：提供2024年1月以来任意3个月依法缴纳税收和社会保险的相关证明材料；注：依法免税或不需要缴纳社会保险的供应商提供相关部门出具的证明文件；</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8、声明函：提供《中小企业声明函》；供应商为监狱企业的，应提供监狱企业相关资格证明材料；供应商为残疾人福利性单位的，应提供《残疾人福利性单位声明函》。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3、具有良好的商业信誉和健全的财务会计制度：提供2023年度经审计的财务报告或开标前六个月内其基本账户银行出具的资信证明或财政部门认可的政府采购专业担保机构出具的担保函；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4、有依法缴纳税收和社会保障资金的良好记录：提供2024年1月以来任意3个月依法缴纳税收和社会保险的相关证明材料；注：依法免税或不需要缴纳社会保险的供应商提供相关部门出具的证明文件；</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渭南市青少年体育运动学校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渭南市临渭区渭清路北段体育中心内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雍军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0913-8183359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西安欣华联建工程咨询有限公司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陕西省西安市高新区科技二路71号竹园天寰国际14层1404室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赵温馨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029-82528801、029-89183511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采购包1：255,850.00元</w:t>
            </w:r>
          </w:p>
          <w:p>
            <w:pPr>
              <w:pStyle w:val="null3"/>
            </w:pPr>
            <w:r>
              <w:rPr>
                <w:rFonts w:ascii="仿宋_GB2312" w:hAnsi="仿宋_GB2312" w:cs="仿宋_GB2312" w:eastAsia="仿宋_GB2312"/>
              </w:rPr>
              <w:t>采购包2：64,600.00元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采购包1保证金金额：2,500.00元</w:t>
            </w:r>
          </w:p>
          <w:p>
            <w:pPr>
              <w:pStyle w:val="null3"/>
            </w:pPr>
            <w:r>
              <w:rPr>
                <w:rFonts w:ascii="仿宋_GB2312" w:hAnsi="仿宋_GB2312" w:cs="仿宋_GB2312" w:eastAsia="仿宋_GB2312"/>
              </w:rPr>
              <w:t>采购包2保证金金额：1,000.00元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开户名称：西安欣华联建工程咨询有限公司</w:t>
            </w:r>
          </w:p>
          <w:p>
            <w:pPr>
              <w:pStyle w:val="null3"/>
            </w:pPr>
            <w:r>
              <w:rPr>
                <w:rFonts w:ascii="仿宋_GB2312" w:hAnsi="仿宋_GB2312" w:cs="仿宋_GB2312" w:eastAsia="仿宋_GB2312"/>
              </w:rPr>
              <w:t>开户银行：西安银行软件园支行</w:t>
            </w:r>
          </w:p>
          <w:p>
            <w:pPr>
              <w:pStyle w:val="null3"/>
            </w:pPr>
            <w:r>
              <w:rPr>
                <w:rFonts w:ascii="仿宋_GB2312" w:hAnsi="仿宋_GB2312" w:cs="仿宋_GB2312" w:eastAsia="仿宋_GB2312"/>
              </w:rPr>
              <w:t>银行账号：912011580000191348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支付代理服务费，代理服务费参照原《国家计委关于印发&lt;招标代理服务收费管理暂行办法&gt;的通知》（计价格〔2002〕1980号）、《国家发展和改革委员会办公厅关于招标代理服务收费有关问题的通知》（发改办价格〔2003〕857号）的规定标准执行，按差额定率累进法收取费用，100万以下按1.5%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渭南市青少年体育运动学校</w:t>
      </w:r>
      <w:r>
        <w:rPr>
          <w:rFonts w:ascii="仿宋_GB2312" w:hAnsi="仿宋_GB2312" w:cs="仿宋_GB2312" w:eastAsia="仿宋_GB2312"/>
        </w:rPr>
        <w:t>和</w:t>
      </w:r>
      <w:r>
        <w:rPr>
          <w:rFonts w:ascii="仿宋_GB2312" w:hAnsi="仿宋_GB2312" w:cs="仿宋_GB2312" w:eastAsia="仿宋_GB2312"/>
        </w:rPr>
        <w:t>西安欣华联建工程咨询有限公司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渭南市青少年体育运动学校</w:t>
      </w:r>
      <w:r>
        <w:rPr>
          <w:rFonts w:ascii="仿宋_GB2312" w:hAnsi="仿宋_GB2312" w:cs="仿宋_GB2312" w:eastAsia="仿宋_GB2312"/>
        </w:rPr>
        <w:t>负责解释。除上述招标文件内容，其他内容由</w:t>
      </w:r>
      <w:r>
        <w:rPr>
          <w:rFonts w:ascii="仿宋_GB2312" w:hAnsi="仿宋_GB2312" w:cs="仿宋_GB2312" w:eastAsia="仿宋_GB2312"/>
        </w:rPr>
        <w:t>西安欣华联建工程咨询有限公司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渭南市青少年体育运动学校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西安欣华联建工程咨询有限公司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（1）应有产品合格证、检测报告、产品说明书、用户手册、保修证明以及相应产品的检定证书和其他应具有的单证； （2）质量符合国家法律法规规定的合格标准、招标文件、投标文件的要求。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（1）应有产品合格证、检测报告、产品说明书、用户手册、保修证明以及相应产品的检定证书和其他应具有的单证； （2）质量符合国家法律法规规定的合格标准、招标文件、投标文件的要求。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联系人：赵温馨</w:t>
      </w:r>
    </w:p>
    <w:p>
      <w:pPr>
        <w:pStyle w:val="null3"/>
      </w:pPr>
      <w:r>
        <w:rPr>
          <w:rFonts w:ascii="仿宋_GB2312" w:hAnsi="仿宋_GB2312" w:cs="仿宋_GB2312" w:eastAsia="仿宋_GB2312"/>
        </w:rPr>
        <w:t>联系电话：029-82528801、029-89183511</w:t>
      </w:r>
    </w:p>
    <w:p>
      <w:pPr>
        <w:pStyle w:val="null3"/>
      </w:pPr>
      <w:r>
        <w:rPr>
          <w:rFonts w:ascii="仿宋_GB2312" w:hAnsi="仿宋_GB2312" w:cs="仿宋_GB2312" w:eastAsia="仿宋_GB2312"/>
        </w:rPr>
        <w:t>地址：陕西省西安市高新区科技二路71号竹园天寰国际14层1404室</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一包：防盗门、储物柜等；二包：空气能热水器。</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255,850.00</w:t>
      </w:r>
    </w:p>
    <w:p>
      <w:pPr>
        <w:pStyle w:val="null3"/>
      </w:pPr>
      <w:r>
        <w:rPr>
          <w:rFonts w:ascii="仿宋_GB2312" w:hAnsi="仿宋_GB2312" w:cs="仿宋_GB2312" w:eastAsia="仿宋_GB2312"/>
        </w:rPr>
        <w:t>采购包最高限价（元）: 255,850.00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防盗门等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255,850.00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64,600.00</w:t>
      </w:r>
    </w:p>
    <w:p>
      <w:pPr>
        <w:pStyle w:val="null3"/>
      </w:pPr>
      <w:r>
        <w:rPr>
          <w:rFonts w:ascii="仿宋_GB2312" w:hAnsi="仿宋_GB2312" w:cs="仿宋_GB2312" w:eastAsia="仿宋_GB2312"/>
        </w:rPr>
        <w:t>采购包最高限价（元）: 64,600.00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空气能热水器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64,600.00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标的名称：防盗门等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一、采购数量</w:t>
            </w:r>
          </w:p>
          <w:p>
            <w:pPr>
              <w:pStyle w:val="null3"/>
              <w:ind w:firstLine="560"/>
              <w:jc w:val="both"/>
            </w:pPr>
            <w:r>
              <w:rPr>
                <w:rFonts w:ascii="仿宋_GB2312" w:hAnsi="仿宋_GB2312" w:cs="仿宋_GB2312" w:eastAsia="仿宋_GB2312"/>
                <w:sz w:val="21"/>
              </w:rPr>
              <w:t>防盗门121个、储物柜100个</w:t>
            </w:r>
          </w:p>
          <w:p>
            <w:pPr>
              <w:pStyle w:val="null3"/>
            </w:pPr>
            <w:r>
              <w:rPr>
                <w:rFonts w:ascii="仿宋_GB2312" w:hAnsi="仿宋_GB2312" w:cs="仿宋_GB2312" w:eastAsia="仿宋_GB2312"/>
                <w:sz w:val="21"/>
                <w:b/>
              </w:rPr>
              <w:t>二、</w:t>
            </w:r>
            <w:r>
              <w:rPr>
                <w:rFonts w:ascii="仿宋_GB2312" w:hAnsi="仿宋_GB2312" w:cs="仿宋_GB2312" w:eastAsia="仿宋_GB2312"/>
                <w:sz w:val="21"/>
                <w:b/>
              </w:rPr>
              <w:t>技术参数</w:t>
            </w:r>
          </w:p>
          <w:p>
            <w:pPr>
              <w:pStyle w:val="null3"/>
              <w:ind w:firstLine="281"/>
              <w:jc w:val="both"/>
            </w:pPr>
            <w:r>
              <w:rPr>
                <w:rFonts w:ascii="仿宋_GB2312" w:hAnsi="仿宋_GB2312" w:cs="仿宋_GB2312" w:eastAsia="仿宋_GB2312"/>
                <w:sz w:val="21"/>
                <w:b/>
              </w:rPr>
              <w:t>（1）防盗门</w:t>
            </w:r>
            <w:r>
              <w:rPr>
                <w:rFonts w:ascii="仿宋_GB2312" w:hAnsi="仿宋_GB2312" w:cs="仿宋_GB2312" w:eastAsia="仿宋_GB2312"/>
                <w:sz w:val="21"/>
                <w:b/>
              </w:rPr>
              <w:t>参数</w:t>
            </w:r>
            <w:r>
              <w:rPr>
                <w:rFonts w:ascii="仿宋_GB2312" w:hAnsi="仿宋_GB2312" w:cs="仿宋_GB2312" w:eastAsia="仿宋_GB2312"/>
                <w:sz w:val="21"/>
              </w:rPr>
              <w:t>：</w:t>
            </w:r>
          </w:p>
          <w:p>
            <w:pPr>
              <w:pStyle w:val="null3"/>
              <w:ind w:firstLine="280"/>
              <w:jc w:val="both"/>
            </w:pPr>
            <w:r>
              <w:rPr>
                <w:rFonts w:ascii="仿宋_GB2312" w:hAnsi="仿宋_GB2312" w:cs="仿宋_GB2312" w:eastAsia="仿宋_GB2312"/>
                <w:sz w:val="21"/>
              </w:rPr>
              <w:t>1、钢板材质：选用防盗门、安全门所用板材材质，甲级门板材厚度1.2mm，允许偏差±0.15mm，门板厚度不低于8cm，允许偏差±5mm，门框厚度不低于10cm，允许偏差±5mm，填充物、隔音材质（如硅酸铝岩棉），门框下框材质，选用不锈钢并强化耐磨、耐腐蚀性要求。</w:t>
            </w:r>
          </w:p>
          <w:p>
            <w:pPr>
              <w:pStyle w:val="null3"/>
              <w:ind w:firstLine="280"/>
              <w:jc w:val="both"/>
            </w:pPr>
            <w:r>
              <w:rPr>
                <w:rFonts w:ascii="仿宋_GB2312" w:hAnsi="仿宋_GB2312" w:cs="仿宋_GB2312" w:eastAsia="仿宋_GB2312"/>
                <w:sz w:val="21"/>
              </w:rPr>
              <w:t xml:space="preserve"> 2、表面处理:喷涂材料选用环保、环氧聚酯环保粉沫，无毒害，无气味，漆膜附着力、硬度、耐用性、腐蚀性符合国家严格要求标准。</w:t>
            </w:r>
          </w:p>
          <w:p>
            <w:pPr>
              <w:pStyle w:val="null3"/>
              <w:ind w:firstLine="280"/>
              <w:jc w:val="both"/>
            </w:pPr>
            <w:r>
              <w:rPr>
                <w:rFonts w:ascii="仿宋_GB2312" w:hAnsi="仿宋_GB2312" w:cs="仿宋_GB2312" w:eastAsia="仿宋_GB2312"/>
                <w:sz w:val="21"/>
              </w:rPr>
              <w:t xml:space="preserve"> 3、尺寸锁具:门高2700×宽980，门框带亮窗，门上带可视口， 采用防火玻璃，锁芯采用A级铜质锁芯，要有质保期，传统甲级锁12个普通锁点，需配置天地锁+多项联动锁点，钥匙在3nm扭矩作用下无明显变形，变形且能正常使用。主锁舌伸出长度≥ 16mm，并配备制动装置，门扇铰链采用304不锈钢，具有一定的承重型和耐用性。</w:t>
            </w:r>
          </w:p>
          <w:p>
            <w:pPr>
              <w:pStyle w:val="null3"/>
              <w:ind w:firstLine="280"/>
              <w:jc w:val="both"/>
            </w:pPr>
            <w:r>
              <w:rPr>
                <w:rFonts w:ascii="仿宋_GB2312" w:hAnsi="仿宋_GB2312" w:cs="仿宋_GB2312" w:eastAsia="仿宋_GB2312"/>
                <w:sz w:val="21"/>
              </w:rPr>
              <w:t xml:space="preserve"> 4、 安装要求:确保门洞内无空鼓或裂缝，特别是膨胀螺丝固定位置需稳固，若墙面不平整需提前处理保证门与门洞贴合紧密，门框可通过螺栓与墙体固定，或预埋铁件焊接连接，每边至少设置4个稳固点，确保连接牢固，门框与地平面的间隙≤5mm，平开门开关严密。</w:t>
            </w:r>
          </w:p>
          <w:p>
            <w:pPr>
              <w:pStyle w:val="null3"/>
              <w:ind w:firstLine="281"/>
            </w:pPr>
            <w:r>
              <w:rPr>
                <w:rFonts w:ascii="仿宋_GB2312" w:hAnsi="仿宋_GB2312" w:cs="仿宋_GB2312" w:eastAsia="仿宋_GB2312"/>
                <w:sz w:val="21"/>
              </w:rPr>
              <w:t>（2）储物柜参数：</w:t>
            </w:r>
          </w:p>
          <w:p>
            <w:pPr>
              <w:pStyle w:val="null3"/>
              <w:ind w:firstLine="281"/>
            </w:pPr>
            <w:r>
              <w:rPr>
                <w:rFonts w:ascii="仿宋_GB2312" w:hAnsi="仿宋_GB2312" w:cs="仿宋_GB2312" w:eastAsia="仿宋_GB2312"/>
                <w:sz w:val="21"/>
              </w:rPr>
              <w:t>1、规格:H2080mm*W800mm*D500mm</w:t>
            </w:r>
          </w:p>
          <w:p>
            <w:pPr>
              <w:pStyle w:val="null3"/>
              <w:ind w:firstLine="281"/>
            </w:pPr>
            <w:r>
              <w:rPr>
                <w:rFonts w:ascii="仿宋_GB2312" w:hAnsi="仿宋_GB2312" w:cs="仿宋_GB2312" w:eastAsia="仿宋_GB2312"/>
                <w:sz w:val="21"/>
              </w:rPr>
              <w:t>2、结构:通三节六门更衣柜为整体式结构，三节等分布局，顺开门。</w:t>
            </w:r>
          </w:p>
          <w:p>
            <w:pPr>
              <w:pStyle w:val="null3"/>
              <w:ind w:firstLine="280"/>
            </w:pPr>
            <w:r>
              <w:rPr>
                <w:rFonts w:ascii="仿宋_GB2312" w:hAnsi="仿宋_GB2312" w:cs="仿宋_GB2312" w:eastAsia="仿宋_GB2312"/>
                <w:sz w:val="21"/>
              </w:rPr>
              <w:t>每门内置一块隔板，隔板承重≥50kg。</w:t>
            </w:r>
          </w:p>
          <w:p>
            <w:pPr>
              <w:pStyle w:val="null3"/>
              <w:ind w:firstLine="280"/>
            </w:pPr>
            <w:r>
              <w:rPr>
                <w:rFonts w:ascii="仿宋_GB2312" w:hAnsi="仿宋_GB2312" w:cs="仿宋_GB2312" w:eastAsia="仿宋_GB2312"/>
                <w:sz w:val="21"/>
              </w:rPr>
              <w:t>柜子底部支撑采用直径80mm,实测壁厚≥1.2mm圆管。</w:t>
            </w:r>
          </w:p>
          <w:p>
            <w:pPr>
              <w:pStyle w:val="null3"/>
              <w:ind w:firstLine="280"/>
            </w:pPr>
            <w:r>
              <w:rPr>
                <w:rFonts w:ascii="仿宋_GB2312" w:hAnsi="仿宋_GB2312" w:cs="仿宋_GB2312" w:eastAsia="仿宋_GB2312"/>
                <w:sz w:val="21"/>
              </w:rPr>
              <w:t xml:space="preserve"> 3、锁具采用优质外挂锁，锌合金锁壳、锁芯。</w:t>
            </w:r>
          </w:p>
          <w:p>
            <w:pPr>
              <w:pStyle w:val="null3"/>
              <w:ind w:firstLine="280"/>
            </w:pPr>
            <w:r>
              <w:rPr>
                <w:rFonts w:ascii="仿宋_GB2312" w:hAnsi="仿宋_GB2312" w:cs="仿宋_GB2312" w:eastAsia="仿宋_GB2312"/>
                <w:sz w:val="21"/>
              </w:rPr>
              <w:t xml:space="preserve"> 4、用料:柜体采用国产优质一级冷轧钢板，厚度≥1.0mm。</w:t>
            </w:r>
          </w:p>
          <w:p>
            <w:pPr>
              <w:pStyle w:val="null3"/>
              <w:ind w:firstLine="280"/>
            </w:pPr>
            <w:r>
              <w:rPr>
                <w:rFonts w:ascii="仿宋_GB2312" w:hAnsi="仿宋_GB2312" w:cs="仿宋_GB2312" w:eastAsia="仿宋_GB2312"/>
                <w:sz w:val="21"/>
              </w:rPr>
              <w:t xml:space="preserve"> 5、工艺:</w:t>
            </w:r>
          </w:p>
          <w:p>
            <w:pPr>
              <w:pStyle w:val="null3"/>
              <w:ind w:firstLine="280"/>
            </w:pPr>
            <w:r>
              <w:rPr>
                <w:rFonts w:ascii="仿宋_GB2312" w:hAnsi="仿宋_GB2312" w:cs="仿宋_GB2312" w:eastAsia="仿宋_GB2312"/>
                <w:sz w:val="21"/>
              </w:rPr>
              <w:t>①表面处理经预脱脂、脱脂、表调、水洗、烘干等前处理后，使用环保静电粉末涂料喷塑(该涂料通过IS014001环保体系认证)高温加热干燥等处理，环保无毒害，无气味，材料防火、防腐、耐磨性强。</w:t>
            </w:r>
          </w:p>
          <w:p>
            <w:pPr>
              <w:pStyle w:val="null3"/>
              <w:ind w:firstLine="280"/>
            </w:pPr>
            <w:r>
              <w:rPr>
                <w:rFonts w:ascii="仿宋_GB2312" w:hAnsi="仿宋_GB2312" w:cs="仿宋_GB2312" w:eastAsia="仿宋_GB2312"/>
                <w:sz w:val="21"/>
              </w:rPr>
              <w:t>②漆膜无露底、杂渣、色差、流挂等现象，无鼓包、无生锈，漆膜不变色。</w:t>
            </w:r>
          </w:p>
          <w:p>
            <w:pPr>
              <w:pStyle w:val="null3"/>
              <w:ind w:firstLine="280"/>
            </w:pPr>
            <w:r>
              <w:rPr>
                <w:rFonts w:ascii="仿宋_GB2312" w:hAnsi="仿宋_GB2312" w:cs="仿宋_GB2312" w:eastAsia="仿宋_GB2312"/>
                <w:sz w:val="21"/>
              </w:rPr>
              <w:t xml:space="preserve"> ③焊接:金属零部件采取焊接连接。此外其他焊接件之间的连接部分焊接(结构不需要时除外)，不漏焊。焊接件焊接时采用二氧化碳保护焊接。焊接件焊接处无脱焊、虚焊、焊穿、错位；焊接处无夹渣、气孔、焊瘤、焊丝头、咬边、飞溅；焊疤表面波纹均匀。焊接后经打磨处理。两侧均不设毛刺。</w:t>
            </w:r>
          </w:p>
          <w:p>
            <w:pPr>
              <w:pStyle w:val="null3"/>
              <w:ind w:firstLine="280"/>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标的名称：空气能热水器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一、采购数量</w:t>
            </w:r>
          </w:p>
          <w:p>
            <w:pPr>
              <w:pStyle w:val="null3"/>
              <w:ind w:firstLine="560"/>
              <w:jc w:val="both"/>
            </w:pPr>
            <w:r>
              <w:rPr>
                <w:rFonts w:ascii="仿宋_GB2312" w:hAnsi="仿宋_GB2312" w:cs="仿宋_GB2312" w:eastAsia="仿宋_GB2312"/>
                <w:sz w:val="21"/>
              </w:rPr>
              <w:t>空气能热水器1套</w:t>
            </w:r>
          </w:p>
          <w:p>
            <w:pPr>
              <w:pStyle w:val="null3"/>
              <w:jc w:val="both"/>
            </w:pPr>
            <w:r>
              <w:rPr>
                <w:rFonts w:ascii="仿宋_GB2312" w:hAnsi="仿宋_GB2312" w:cs="仿宋_GB2312" w:eastAsia="仿宋_GB2312"/>
                <w:sz w:val="21"/>
                <w:b/>
              </w:rPr>
              <w:t>二、空气能热水器参数：</w:t>
            </w:r>
          </w:p>
          <w:tbl>
            <w:tblPr>
              <w:tblBorders>
                <w:top w:val="none" w:color="000000" w:sz="4"/>
                <w:left w:val="none" w:color="000000" w:sz="4"/>
                <w:bottom w:val="none" w:color="000000" w:sz="4"/>
                <w:right w:val="none" w:color="000000" w:sz="4"/>
                <w:insideH w:val="none"/>
                <w:insideV w:val="none"/>
              </w:tblBorders>
            </w:tblPr>
            <w:tblGrid>
              <w:gridCol w:w="540"/>
              <w:gridCol w:w="563"/>
              <w:gridCol w:w="1050"/>
              <w:gridCol w:w="1668"/>
            </w:tblGrid>
            <w:tr>
              <w:tc>
                <w:tcPr>
                  <w:tcW w:type="dxa" w:w="110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16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w:t>
                  </w:r>
                </w:p>
              </w:tc>
            </w:tr>
            <w:tr>
              <w:tc>
                <w:tcPr>
                  <w:tcW w:type="dxa" w:w="110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制热量</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kW</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20-40</w:t>
                  </w:r>
                </w:p>
              </w:tc>
            </w:tr>
            <w:tr>
              <w:tc>
                <w:tcPr>
                  <w:tcW w:type="dxa" w:w="110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制热功率</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kW</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w:t>
                  </w:r>
                </w:p>
              </w:tc>
            </w:tr>
            <w:tr>
              <w:tc>
                <w:tcPr>
                  <w:tcW w:type="dxa" w:w="110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产水量</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L/h</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400-500</w:t>
                  </w:r>
                </w:p>
              </w:tc>
            </w:tr>
            <w:tr>
              <w:tc>
                <w:tcPr>
                  <w:tcW w:type="dxa" w:w="110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换热器</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套管</w:t>
                  </w:r>
                </w:p>
              </w:tc>
            </w:tr>
            <w:tr>
              <w:tc>
                <w:tcPr>
                  <w:tcW w:type="dxa" w:w="110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节流装置</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电磁阀</w:t>
                  </w:r>
                </w:p>
              </w:tc>
            </w:tr>
            <w:tr>
              <w:tc>
                <w:tcPr>
                  <w:tcW w:type="dxa" w:w="110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水箱2个</w:t>
                  </w:r>
                </w:p>
                <w:p>
                  <w:pPr>
                    <w:pStyle w:val="null3"/>
                    <w:jc w:val="center"/>
                  </w:pPr>
                  <w:r>
                    <w:rPr>
                      <w:rFonts w:ascii="仿宋_GB2312" w:hAnsi="仿宋_GB2312" w:cs="仿宋_GB2312" w:eastAsia="仿宋_GB2312"/>
                      <w:sz w:val="21"/>
                    </w:rPr>
                    <w:t>（热水和凉水）</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不锈钢加厚保温</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机组尺寸</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长*宽*高</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mm</w:t>
                  </w:r>
                </w:p>
              </w:tc>
              <w:tc>
                <w:tcPr>
                  <w:tcW w:type="dxa" w:w="16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（964*372*950）±5</w:t>
                  </w:r>
                </w:p>
              </w:tc>
            </w:tr>
            <w:tr>
              <w:tc>
                <w:tcPr>
                  <w:tcW w:type="dxa" w:w="5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运行范围</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环境温度</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-20-50</w:t>
                  </w:r>
                </w:p>
              </w:tc>
            </w:tr>
            <w:tr>
              <w:tc>
                <w:tcPr>
                  <w:tcW w:type="dxa" w:w="540"/>
                  <w:vMerge/>
                  <w:tcBorders>
                    <w:top w:val="none" w:color="000000" w:sz="4"/>
                    <w:left w:val="single" w:color="000000" w:sz="4"/>
                    <w:bottom w:val="single" w:color="000000" w:sz="4"/>
                    <w:right w:val="single" w:color="000000" w:sz="4"/>
                  </w:tcBorders>
                </w:tc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水箱温度</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15-55</w:t>
                  </w:r>
                </w:p>
              </w:tc>
            </w:tr>
            <w:tr>
              <w:tc>
                <w:tcPr>
                  <w:tcW w:type="dxa" w:w="110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机组出水温度</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15-60</w:t>
                  </w:r>
                </w:p>
              </w:tc>
            </w:tr>
            <w:tr>
              <w:tc>
                <w:tcPr>
                  <w:tcW w:type="dxa" w:w="1103"/>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注：</w:t>
                  </w:r>
                </w:p>
              </w:tc>
              <w:tc>
                <w:tcPr>
                  <w:tcW w:type="dxa" w:w="27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1.包含主机基础，材质是槽钢。</w:t>
                  </w:r>
                </w:p>
              </w:tc>
            </w:tr>
            <w:tr>
              <w:tc>
                <w:tcPr>
                  <w:tcW w:type="dxa" w:w="1103"/>
                  <w:gridSpan w:val="2"/>
                  <w:vMerge/>
                  <w:tcBorders>
                    <w:top w:val="none" w:color="000000" w:sz="4"/>
                    <w:left w:val="single" w:color="000000" w:sz="4"/>
                    <w:bottom w:val="single" w:color="000000" w:sz="4"/>
                    <w:right w:val="single" w:color="000000" w:sz="4"/>
                  </w:tcBorders>
                </w:tcPr>
                <w:p/>
              </w:tc>
              <w:tc>
                <w:tcPr>
                  <w:tcW w:type="dxa" w:w="27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2.热水在43度，必须保证满足600人洗漱用水。</w:t>
                  </w:r>
                </w:p>
              </w:tc>
            </w:tr>
            <w:tr>
              <w:tc>
                <w:tcPr>
                  <w:tcW w:type="dxa" w:w="1103"/>
                  <w:gridSpan w:val="2"/>
                  <w:vMerge/>
                  <w:tcBorders>
                    <w:top w:val="none" w:color="000000" w:sz="4"/>
                    <w:left w:val="single" w:color="000000" w:sz="4"/>
                    <w:bottom w:val="single" w:color="000000" w:sz="4"/>
                    <w:right w:val="single" w:color="000000" w:sz="4"/>
                  </w:tcBorders>
                </w:tcPr>
                <w:p/>
              </w:tc>
              <w:tc>
                <w:tcPr>
                  <w:tcW w:type="dxa" w:w="27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3.设备工作环境温度必须是国内一线品牌，配套水箱、水泵、各类辅料、上下水与现有管道碰口及电源线、电气电路控制设备等。</w:t>
                  </w:r>
                </w:p>
              </w:tc>
            </w:tr>
            <w:tr>
              <w:tc>
                <w:tcPr>
                  <w:tcW w:type="dxa" w:w="1103"/>
                  <w:gridSpan w:val="2"/>
                  <w:vMerge/>
                  <w:tcBorders>
                    <w:top w:val="none" w:color="000000" w:sz="4"/>
                    <w:left w:val="single" w:color="000000" w:sz="4"/>
                    <w:bottom w:val="single" w:color="000000" w:sz="4"/>
                    <w:right w:val="single" w:color="000000" w:sz="4"/>
                  </w:tcBorders>
                </w:tcPr>
                <w:p/>
              </w:tc>
              <w:tc>
                <w:tcPr>
                  <w:tcW w:type="dxa" w:w="27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4.用电功率要求10KV内，含两套粗过滤及除水垢设备。</w:t>
                  </w:r>
                </w:p>
              </w:tc>
            </w:tr>
            <w:tr>
              <w:tc>
                <w:tcPr>
                  <w:tcW w:type="dxa" w:w="1103"/>
                  <w:gridSpan w:val="2"/>
                  <w:vMerge/>
                  <w:tcBorders>
                    <w:top w:val="none" w:color="000000" w:sz="4"/>
                    <w:left w:val="single" w:color="000000" w:sz="4"/>
                    <w:bottom w:val="single" w:color="000000" w:sz="4"/>
                    <w:right w:val="single" w:color="000000" w:sz="4"/>
                  </w:tcBorders>
                </w:tcPr>
                <w:p/>
              </w:tc>
              <w:tc>
                <w:tcPr>
                  <w:tcW w:type="dxa" w:w="27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5.另含一台旧设备拆装、调试及附件的更换，确保旧设备能正常使用。</w:t>
                  </w:r>
                </w:p>
              </w:tc>
            </w:tr>
          </w:tbl>
          <w:p>
            <w:pPr>
              <w:pStyle w:val="null3"/>
              <w:jc w:val="both"/>
            </w:pPr>
            <w:r>
              <w:rPr>
                <w:rFonts w:ascii="仿宋_GB2312" w:hAnsi="仿宋_GB2312" w:cs="仿宋_GB2312" w:eastAsia="仿宋_GB2312"/>
                <w:sz w:val="21"/>
              </w:rPr>
              <w:t>安装要求：安装于公寓楼顶，不得直接将设备置放于屋面，需制作钢架，将受力分散，钢架支腿必须安装在楼梯的承重柱上。接通电路、上下水，做好屋面的防水和钢架的防腐防锈。</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合同签订后30日历日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合同签订后30日历日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渭南市青少年体育运动学校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渭南市青少年体育运动学校</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货到现场并经验收合格开具全额发票后一次性付清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货到现场并经验收合格开具全额发票后一次性付清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（1）应有产品合格证、检测报告、产品说明书、用户手册、保修证明以及相应产品的检定证书和其他应具有的单证； （2）质量符合国家法律法规规定的合格标准、招标文件、投标文件的要求。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（1）应有产品合格证、检测报告、产品说明书、用户手册、保修证明以及相应产品的检定证书和其他应具有的单证； （2）质量符合国家法律法规规定的合格标准、招标文件、投标文件的要求。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验收合格之日起一年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甲方的违约责任 1、甲方逾期付款，应就逾期部分向乙方支付按照中国人民银行规定的同期贷款基准利率计算的逾期付款违约金。 2、甲方违反合同规定拒绝接货的，应当承担由此对乙方造成的损失。 乙方的违约责任 1、乙方不能按期交货的，每逾期1日，乙方应向甲方赔付合同总价的0.1%作为违约金。 2、乙方所交货物不符合国家法律法规和合同规定的，甲方有权拒收，并由乙方承担一切费用。 争议解决 双方本着友好合作的态度,对合同履行过程中发生的纠纷应及时协商解决，协商不成的，向甲方所在地有管辖权的人民法院诉讼解决。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甲方的违约责任 1、甲方逾期付款，应就逾期部分向乙方支付按照中国人民银行规定的同期贷款基准利率计算的逾期付款违约金。 2、甲方违反合同规定拒绝接货的，应当承担由此对乙方造成的损失。 乙方的违约责任 1、乙方不能按期交货的，每逾期1日，乙方应向甲方赔付合同总价的0.1%作为违约金。 2、乙方所交货物不符合国家法律法规和合同规定的，甲方有权拒收，并由乙方承担一切费用。 争议解决 双方本着友好合作的态度,对合同履行过程中发生的纠纷应及时协商解决，协商不成的，向甲方所在地有管辖权的人民法院诉讼解决。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供应商应具有独立承担民事责任的能力且具备向采购人提供相关货物及服务的企业法人、其他组织,企业法人应提供统一社会信用代码的营业执照；其他组织应提供合法证明文件；</w:t>
            </w:r>
          </w:p>
        </w:tc>
        <w:tc>
          <w:tcPr>
            <w:tcW w:type="dxa" w:w="1661"/>
          </w:tcPr>
          <w:p>
            <w:pPr>
              <w:pStyle w:val="null3"/>
            </w:pPr>
            <w:r>
              <w:rPr>
                <w:rFonts w:ascii="仿宋_GB2312" w:hAnsi="仿宋_GB2312" w:cs="仿宋_GB2312" w:eastAsia="仿宋_GB2312"/>
              </w:rPr>
              <w:t>供应商资格证明文件1</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供应商资格证明文件1</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提供2023年度经审计的财务报告或开标前六个月内其基本账户银行出具的资信证明或财政部门认可的政府采购专业担保机构出具的担保函；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供应商资格证明文件1</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提供2024年1月以来任意3个月依法缴纳税收和社会保险的相关证明材料；注：依法免税或不需要缴纳社会保险的供应商提供相关部门出具的证明文件；</w:t>
            </w:r>
          </w:p>
        </w:tc>
        <w:tc>
          <w:tcPr>
            <w:tcW w:type="dxa" w:w="1661"/>
          </w:tcPr>
          <w:p>
            <w:pPr>
              <w:pStyle w:val="null3"/>
            </w:pPr>
            <w:r>
              <w:rPr>
                <w:rFonts w:ascii="仿宋_GB2312" w:hAnsi="仿宋_GB2312" w:cs="仿宋_GB2312" w:eastAsia="仿宋_GB2312"/>
              </w:rPr>
              <w:t>供应商资格证明文件1</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供应商资格证明文件1</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供应商资格证明文件1</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供应商资格证明文件1</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提供《中小企业声明函》；供应商为监狱企业的，应提供监狱企业相关资格证明材料；供应商为残疾人福利性单位的，应提供《残疾人福利性单位声明函》。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供应商资格证明文件2</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供应商资格证明文件2</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提供2023年度经审计的财务报告或开标前六个月内其基本账户银行出具的资信证明或财政部门认可的政府采购专业担保机构出具的担保函；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供应商资格证明文件2</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提供2024年1月以来任意3个月依法缴纳税收和社会保险的相关证明材料；注：依法免税或不需要缴纳社会保险的供应商提供相关部门出具的证明文件；</w:t>
            </w:r>
          </w:p>
        </w:tc>
        <w:tc>
          <w:tcPr>
            <w:tcW w:type="dxa" w:w="1661"/>
          </w:tcPr>
          <w:p>
            <w:pPr>
              <w:pStyle w:val="null3"/>
            </w:pPr>
            <w:r>
              <w:rPr>
                <w:rFonts w:ascii="仿宋_GB2312" w:hAnsi="仿宋_GB2312" w:cs="仿宋_GB2312" w:eastAsia="仿宋_GB2312"/>
              </w:rPr>
              <w:t>供应商资格证明文件2</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供应商资格证明文件2</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供应商资格证明文件2</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供应商资格证明文件2</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开标一览表 投标方案 分项报价表 中小企业声明函 技术要求响应表 商务要求响应表 政府采购供应商拒绝政府采购领域商业贿赂承诺书 投标函 残疾人福利性单位声明函 供应商资格证明文件1 供应商资格声明文件 投标保证金缴纳凭证及退还申请表 标的清单 投标文件封面 供应商承诺书 业绩证明文件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（1）报价未超过本项目预算金额 （2）未出现选择性报价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w:t>
            </w:r>
          </w:p>
        </w:tc>
        <w:tc>
          <w:tcPr>
            <w:tcW w:type="dxa" w:w="3322"/>
          </w:tcPr>
          <w:p>
            <w:pPr>
              <w:pStyle w:val="null3"/>
            </w:pPr>
            <w:r>
              <w:rPr>
                <w:rFonts w:ascii="仿宋_GB2312" w:hAnsi="仿宋_GB2312" w:cs="仿宋_GB2312" w:eastAsia="仿宋_GB2312"/>
              </w:rPr>
              <w:t>（1）符合商务、技术要求，不存在重大负偏离 （2）未附有采购人不能接受的条件 （3）符合磋商文件规定的其他实质性要求 （4）未违反《中华人民共和国政府采购法》和其他相关法律、法规的规定</w:t>
            </w:r>
          </w:p>
        </w:tc>
        <w:tc>
          <w:tcPr>
            <w:tcW w:type="dxa" w:w="1661"/>
          </w:tcPr>
          <w:p>
            <w:pPr>
              <w:pStyle w:val="null3"/>
            </w:pPr>
            <w:r>
              <w:rPr>
                <w:rFonts w:ascii="仿宋_GB2312" w:hAnsi="仿宋_GB2312" w:cs="仿宋_GB2312" w:eastAsia="仿宋_GB2312"/>
              </w:rPr>
              <w:t>投标方案 技术要求响应表 商务要求响应表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开标一览表 投标方案 分项报价表 中小企业声明函 技术要求响应表 商务要求响应表 政府采购供应商拒绝政府采购领域商业贿赂承诺书 投标函 残疾人福利性单位声明函 供应商资格证明文件2 供应商资格声明文件 投标保证金缴纳凭证及退还申请表 标的清单 投标文件封面 供应商承诺书 业绩证明文件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（1）报价未超过本项目预算金额 （2）未出现选择性报价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w:t>
            </w:r>
          </w:p>
        </w:tc>
        <w:tc>
          <w:tcPr>
            <w:tcW w:type="dxa" w:w="3322"/>
          </w:tcPr>
          <w:p>
            <w:pPr>
              <w:pStyle w:val="null3"/>
            </w:pPr>
            <w:r>
              <w:rPr>
                <w:rFonts w:ascii="仿宋_GB2312" w:hAnsi="仿宋_GB2312" w:cs="仿宋_GB2312" w:eastAsia="仿宋_GB2312"/>
              </w:rPr>
              <w:t>（1）符合商务、技术要求，不存在重大负偏离 （2）未附有采购人不能接受的条件 （3）符合磋商文件规定的其他实质性要求 （4）未违反《中华人民共和国政府采购法》和其他相关法律、法规的规定</w:t>
            </w:r>
          </w:p>
        </w:tc>
        <w:tc>
          <w:tcPr>
            <w:tcW w:type="dxa" w:w="1661"/>
          </w:tcPr>
          <w:p>
            <w:pPr>
              <w:pStyle w:val="null3"/>
            </w:pPr>
            <w:r>
              <w:rPr>
                <w:rFonts w:ascii="仿宋_GB2312" w:hAnsi="仿宋_GB2312" w:cs="仿宋_GB2312" w:eastAsia="仿宋_GB2312"/>
              </w:rPr>
              <w:t>投标方案 技术要求响应表 商务要求响应表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商务部分</w:t>
            </w:r>
          </w:p>
        </w:tc>
        <w:tc>
          <w:tcPr>
            <w:tcW w:type="dxa" w:w="2492"/>
          </w:tcPr>
          <w:p>
            <w:pPr>
              <w:pStyle w:val="null3"/>
            </w:pPr>
            <w:r>
              <w:rPr>
                <w:rFonts w:ascii="仿宋_GB2312" w:hAnsi="仿宋_GB2312" w:cs="仿宋_GB2312" w:eastAsia="仿宋_GB2312"/>
              </w:rPr>
              <w:t>对商务要求完全响应招标文件要求的得2分。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商务要求响应表</w:t>
            </w:r>
          </w:p>
        </w:tc>
      </w:tr>
      <w:tr>
        <w:tc>
          <w:tcPr>
            <w:tcW w:type="dxa" w:w="831"/>
            <w:vMerge/>
          </w:tcPr>
          <w:p/>
        </w:tc>
        <w:tc>
          <w:tcPr>
            <w:tcW w:type="dxa" w:w="1661"/>
          </w:tcPr>
          <w:p>
            <w:pPr>
              <w:pStyle w:val="null3"/>
            </w:pPr>
            <w:r>
              <w:rPr>
                <w:rFonts w:ascii="仿宋_GB2312" w:hAnsi="仿宋_GB2312" w:cs="仿宋_GB2312" w:eastAsia="仿宋_GB2312"/>
              </w:rPr>
              <w:t>所投产品技术参数指标</w:t>
            </w:r>
          </w:p>
        </w:tc>
        <w:tc>
          <w:tcPr>
            <w:tcW w:type="dxa" w:w="2492"/>
          </w:tcPr>
          <w:p>
            <w:pPr>
              <w:pStyle w:val="null3"/>
            </w:pPr>
            <w:r>
              <w:rPr>
                <w:rFonts w:ascii="仿宋_GB2312" w:hAnsi="仿宋_GB2312" w:cs="仿宋_GB2312" w:eastAsia="仿宋_GB2312"/>
              </w:rPr>
              <w:t>所投产品技术参数指标（包括但不限加盖公章的产品彩页、加盖公章的官网截图等）本项满分10分，未提供不得分。 技术参数详细完整，选型合理，配套性好，计6.1～10分； 技术参数较详细完整，选型较合理，配套性较好，计3.1～6分； 技术参数不详细，选型不合理、不配套，计1～3分。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所投产品相关资料</w:t>
            </w:r>
          </w:p>
        </w:tc>
        <w:tc>
          <w:tcPr>
            <w:tcW w:type="dxa" w:w="2492"/>
          </w:tcPr>
          <w:p>
            <w:pPr>
              <w:pStyle w:val="null3"/>
            </w:pPr>
            <w:r>
              <w:rPr>
                <w:rFonts w:ascii="仿宋_GB2312" w:hAnsi="仿宋_GB2312" w:cs="仿宋_GB2312" w:eastAsia="仿宋_GB2312"/>
              </w:rPr>
              <w:t>所投产品相关资料（包括但不限于产品说明书、使用手册、用户手册、产品质量证明文件等），本项满分10分，未提供不得分。 技术资料详细完整，计6.1～10分； 技术资料较详细完整，计3.1～6分； 技术资料不详细，计1～3分。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所投产品来源渠道</w:t>
            </w:r>
          </w:p>
        </w:tc>
        <w:tc>
          <w:tcPr>
            <w:tcW w:type="dxa" w:w="2492"/>
          </w:tcPr>
          <w:p>
            <w:pPr>
              <w:pStyle w:val="null3"/>
            </w:pPr>
            <w:r>
              <w:rPr>
                <w:rFonts w:ascii="仿宋_GB2312" w:hAnsi="仿宋_GB2312" w:cs="仿宋_GB2312" w:eastAsia="仿宋_GB2312"/>
              </w:rPr>
              <w:t>所投产品来源渠道（包括但不限于销售协议、代理协议、原厂授权等），本项满分5分，未提供不得分。 证明资料详细完整，计3.1～5分； 证明资料不详细，计1～3分。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针对本项目的质量保障措施</w:t>
            </w:r>
          </w:p>
        </w:tc>
        <w:tc>
          <w:tcPr>
            <w:tcW w:type="dxa" w:w="2492"/>
          </w:tcPr>
          <w:p>
            <w:pPr>
              <w:pStyle w:val="null3"/>
            </w:pPr>
            <w:r>
              <w:rPr>
                <w:rFonts w:ascii="仿宋_GB2312" w:hAnsi="仿宋_GB2312" w:cs="仿宋_GB2312" w:eastAsia="仿宋_GB2312"/>
              </w:rPr>
              <w:t>针对本项目的质量保障措施（包括但不限于第三方检测报告、产品质量保证方案及承诺等）本项满分10分，未提供不得分。 证明资料齐全，保证措施详细、完整、可行性强，计6.1～10分； 证明资料较齐全，保证措施较详细、可行性一般，计3.1～6分； 证明资料不齐全，保证措施欠缺，计1～3分。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针对本项目特点制定整体实施方案</w:t>
            </w:r>
          </w:p>
        </w:tc>
        <w:tc>
          <w:tcPr>
            <w:tcW w:type="dxa" w:w="2492"/>
          </w:tcPr>
          <w:p>
            <w:pPr>
              <w:pStyle w:val="null3"/>
            </w:pPr>
            <w:r>
              <w:rPr>
                <w:rFonts w:ascii="仿宋_GB2312" w:hAnsi="仿宋_GB2312" w:cs="仿宋_GB2312" w:eastAsia="仿宋_GB2312"/>
              </w:rPr>
              <w:t>针对本项目特点制定整体实施方案，本项满分10分，未提供不得分。 整体实施方案针对性强，对用户及项目了解全面，内容完整、可行性强，计6.1～10分； 实施方案针对性一般，未考虑到物资特点及用户实际需求，计3.1～6分； 实施方案无针对性，计1～3分。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提供2022年1月1日以来供应商类似项目的业绩合同（以合同签订日期为准），附业绩合同复印件加盖公章，每份2分，满分8分，未提供不得分。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vMerge/>
          </w:tcPr>
          <w:p/>
        </w:tc>
        <w:tc>
          <w:tcPr>
            <w:tcW w:type="dxa" w:w="1661"/>
          </w:tcPr>
          <w:p>
            <w:pPr>
              <w:pStyle w:val="null3"/>
            </w:pPr>
            <w:r>
              <w:rPr>
                <w:rFonts w:ascii="仿宋_GB2312" w:hAnsi="仿宋_GB2312" w:cs="仿宋_GB2312" w:eastAsia="仿宋_GB2312"/>
              </w:rPr>
              <w:t>售后服务及承诺</w:t>
            </w:r>
          </w:p>
        </w:tc>
        <w:tc>
          <w:tcPr>
            <w:tcW w:type="dxa" w:w="2492"/>
          </w:tcPr>
          <w:p>
            <w:pPr>
              <w:pStyle w:val="null3"/>
            </w:pPr>
            <w:r>
              <w:rPr>
                <w:rFonts w:ascii="仿宋_GB2312" w:hAnsi="仿宋_GB2312" w:cs="仿宋_GB2312" w:eastAsia="仿宋_GB2312"/>
              </w:rPr>
              <w:t>完全承诺招标文件的要求，并针对本项目实际需求提供实质性承诺，包括售后服务措施、维修响应时间、零配件及易损件储备、发生故障后的补救措施等方面，本项满分5分，未提供不得分。 售后服务详细、完善，承诺内容可行性强，计3.1～5分； 售后服务较完善，承诺内容可行性一般，计1～3分。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价格分采用低价优先法计算，即满足招标文件要求且投标报价最低的投标报价为评标基准价，其价格分为满分。其他供应商的价格分统一按照下列公式计算： 投标报价得分=（评标基准价/有效报价）×价格权值（40%）×100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商务部分</w:t>
            </w:r>
          </w:p>
        </w:tc>
        <w:tc>
          <w:tcPr>
            <w:tcW w:type="dxa" w:w="2492"/>
          </w:tcPr>
          <w:p>
            <w:pPr>
              <w:pStyle w:val="null3"/>
            </w:pPr>
            <w:r>
              <w:rPr>
                <w:rFonts w:ascii="仿宋_GB2312" w:hAnsi="仿宋_GB2312" w:cs="仿宋_GB2312" w:eastAsia="仿宋_GB2312"/>
              </w:rPr>
              <w:t>对商务要求完全响应招标文件要求的得2分。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商务要求响应表</w:t>
            </w:r>
          </w:p>
        </w:tc>
      </w:tr>
      <w:tr>
        <w:tc>
          <w:tcPr>
            <w:tcW w:type="dxa" w:w="831"/>
            <w:vMerge/>
          </w:tcPr>
          <w:p/>
        </w:tc>
        <w:tc>
          <w:tcPr>
            <w:tcW w:type="dxa" w:w="1661"/>
          </w:tcPr>
          <w:p>
            <w:pPr>
              <w:pStyle w:val="null3"/>
            </w:pPr>
            <w:r>
              <w:rPr>
                <w:rFonts w:ascii="仿宋_GB2312" w:hAnsi="仿宋_GB2312" w:cs="仿宋_GB2312" w:eastAsia="仿宋_GB2312"/>
              </w:rPr>
              <w:t>所投产品技术参数指标</w:t>
            </w:r>
          </w:p>
        </w:tc>
        <w:tc>
          <w:tcPr>
            <w:tcW w:type="dxa" w:w="2492"/>
          </w:tcPr>
          <w:p>
            <w:pPr>
              <w:pStyle w:val="null3"/>
            </w:pPr>
            <w:r>
              <w:rPr>
                <w:rFonts w:ascii="仿宋_GB2312" w:hAnsi="仿宋_GB2312" w:cs="仿宋_GB2312" w:eastAsia="仿宋_GB2312"/>
              </w:rPr>
              <w:t>所投产品技术参数指标（包括但不限加盖公章的产品彩页、加盖公章的官网截图等）本项满分10分，未提供不得分。 技术参数详细完整，选型合理，配套性好，计6.1～10分； 技术参数较详细完整，选型较合理，配套性较好，计3.1～6分； 技术参数不详细，选型不合理、不配套，计1～3分。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所投产品相关资料</w:t>
            </w:r>
          </w:p>
        </w:tc>
        <w:tc>
          <w:tcPr>
            <w:tcW w:type="dxa" w:w="2492"/>
          </w:tcPr>
          <w:p>
            <w:pPr>
              <w:pStyle w:val="null3"/>
            </w:pPr>
            <w:r>
              <w:rPr>
                <w:rFonts w:ascii="仿宋_GB2312" w:hAnsi="仿宋_GB2312" w:cs="仿宋_GB2312" w:eastAsia="仿宋_GB2312"/>
              </w:rPr>
              <w:t>所投产品相关资料（包括但不限于产品说明书、使用手册、用户手册、产品质量证明文件等），本项满分10分，未提供不得分。 技术资料详细完整，计6.1～10分； 技术资料较详细完整，计3.1～6分； 技术资料不详细，计1～3分。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所投产品来源渠道</w:t>
            </w:r>
          </w:p>
        </w:tc>
        <w:tc>
          <w:tcPr>
            <w:tcW w:type="dxa" w:w="2492"/>
          </w:tcPr>
          <w:p>
            <w:pPr>
              <w:pStyle w:val="null3"/>
            </w:pPr>
            <w:r>
              <w:rPr>
                <w:rFonts w:ascii="仿宋_GB2312" w:hAnsi="仿宋_GB2312" w:cs="仿宋_GB2312" w:eastAsia="仿宋_GB2312"/>
              </w:rPr>
              <w:t>所投产品来源渠道（包括但不限于销售协议、代理协议、原厂授权等），本项满分5分，未提供不得分。 证明资料详细完整，计3.1～5分； 证明资料不详细，计1～3分。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针对本项目的质量保障措施</w:t>
            </w:r>
          </w:p>
        </w:tc>
        <w:tc>
          <w:tcPr>
            <w:tcW w:type="dxa" w:w="2492"/>
          </w:tcPr>
          <w:p>
            <w:pPr>
              <w:pStyle w:val="null3"/>
            </w:pPr>
            <w:r>
              <w:rPr>
                <w:rFonts w:ascii="仿宋_GB2312" w:hAnsi="仿宋_GB2312" w:cs="仿宋_GB2312" w:eastAsia="仿宋_GB2312"/>
              </w:rPr>
              <w:t>针对本项目的质量保障措施（包括但不限于第三方检测报告、产品质量保证方案及承诺等）本项满分10分，未提供不得分。 证明资料齐全，保证措施详细、完整、可行性强，计6.1～10分； 证明资料较齐全，保证措施较详细、可行性一般，计3.1～6分； 证明资料不齐全，保证措施欠缺，计1～3分。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针对本项目特点制定整体实施方案</w:t>
            </w:r>
          </w:p>
        </w:tc>
        <w:tc>
          <w:tcPr>
            <w:tcW w:type="dxa" w:w="2492"/>
          </w:tcPr>
          <w:p>
            <w:pPr>
              <w:pStyle w:val="null3"/>
            </w:pPr>
            <w:r>
              <w:rPr>
                <w:rFonts w:ascii="仿宋_GB2312" w:hAnsi="仿宋_GB2312" w:cs="仿宋_GB2312" w:eastAsia="仿宋_GB2312"/>
              </w:rPr>
              <w:t>针对本项目特点制定整体实施方案，本项满分10分，未提供不得分。 整体实施方案针对性强，对用户及项目了解全面，内容完整、可行性强，计6.1～10分； 实施方案针对性一般，未考虑到物资特点及用户实际需求，计3.1～6分； 实施方案无针对性，计1～3分。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提供2022年1月1日以来供应商类似项目的业绩合同（以合同签订日期为准），附业绩合同复印件加盖公章，每份2分，满分8分，未提供不得分。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vMerge/>
          </w:tcPr>
          <w:p/>
        </w:tc>
        <w:tc>
          <w:tcPr>
            <w:tcW w:type="dxa" w:w="1661"/>
          </w:tcPr>
          <w:p>
            <w:pPr>
              <w:pStyle w:val="null3"/>
            </w:pPr>
            <w:r>
              <w:rPr>
                <w:rFonts w:ascii="仿宋_GB2312" w:hAnsi="仿宋_GB2312" w:cs="仿宋_GB2312" w:eastAsia="仿宋_GB2312"/>
              </w:rPr>
              <w:t>售后服务及承诺</w:t>
            </w:r>
          </w:p>
        </w:tc>
        <w:tc>
          <w:tcPr>
            <w:tcW w:type="dxa" w:w="2492"/>
          </w:tcPr>
          <w:p>
            <w:pPr>
              <w:pStyle w:val="null3"/>
            </w:pPr>
            <w:r>
              <w:rPr>
                <w:rFonts w:ascii="仿宋_GB2312" w:hAnsi="仿宋_GB2312" w:cs="仿宋_GB2312" w:eastAsia="仿宋_GB2312"/>
              </w:rPr>
              <w:t>完全承诺招标文件的要求，并针对本项目实际需求提供实质性承诺，包括售后服务措施、维修响应时间、零配件及易损件储备、发生故障后的补救措施等方面，本项满分5分，未提供不得分。 售后服务详细、完善，承诺内容可行性强，计3.1～5分； 售后服务较完善，承诺内容可行性一般，计1～3分。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价格分采用低价优先法计算，即满足招标文件要求且投标报价最低的投标报价为评标基准价，其价格分为满分。其他供应商的价格分统一按照下列公式计算： 投标报价得分=（评标基准价/有效报价）×价格权值（40%）×100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详见附件：供应商资格声明文件</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详见附件：投标保证金缴纳凭证及退还申请表</w:t>
      </w:r>
    </w:p>
    <w:p>
      <w:pPr>
        <w:pStyle w:val="null3"/>
        <w:ind w:firstLine="960"/>
      </w:pPr>
      <w:r>
        <w:rPr>
          <w:rFonts w:ascii="仿宋_GB2312" w:hAnsi="仿宋_GB2312" w:cs="仿宋_GB2312" w:eastAsia="仿宋_GB2312"/>
        </w:rPr>
        <w:t>详见附件：供应商资格证明文件1</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详见附件：供应商资格声明文件</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详见附件：投标保证金缴纳凭证及退还申请表</w:t>
      </w:r>
    </w:p>
    <w:p>
      <w:pPr>
        <w:pStyle w:val="null3"/>
        <w:ind w:firstLine="960"/>
      </w:pPr>
      <w:r>
        <w:rPr>
          <w:rFonts w:ascii="仿宋_GB2312" w:hAnsi="仿宋_GB2312" w:cs="仿宋_GB2312" w:eastAsia="仿宋_GB2312"/>
        </w:rPr>
        <w:t>详见附件：供应商资格证明文件2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