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版本号：ZCSP-渭南市-2025-00561、XHLJZC-WN2025-07020250704001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ZCSP-渭南市-2025-00561、XHLJZC-WN2025-070</w:t>
      </w:r>
      <w:r>
        <w:br/>
      </w:r>
      <w:r>
        <w:br/>
      </w:r>
      <w:r>
        <w:br/>
      </w:r>
    </w:p>
    <w:p>
      <w:pPr>
        <w:pStyle w:val="null3"/>
        <w:jc w:val="center"/>
        <w:outlineLvl w:val="2"/>
      </w:pPr>
      <w:r>
        <w:rPr>
          <w:rFonts w:ascii="仿宋_GB2312" w:hAnsi="仿宋_GB2312" w:cs="仿宋_GB2312" w:eastAsia="仿宋_GB2312"/>
          <w:sz w:val="28"/>
          <w:b/>
        </w:rPr>
        <w:t>渭南技师学院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渭南技师学院</w:t>
      </w:r>
      <w:r>
        <w:rPr>
          <w:rFonts w:ascii="仿宋_GB2312" w:hAnsi="仿宋_GB2312" w:cs="仿宋_GB2312" w:eastAsia="仿宋_GB2312"/>
        </w:rPr>
        <w:t>委托，拟对</w:t>
      </w:r>
      <w:r>
        <w:rPr>
          <w:rFonts w:ascii="仿宋_GB2312" w:hAnsi="仿宋_GB2312" w:cs="仿宋_GB2312" w:eastAsia="仿宋_GB2312"/>
        </w:rPr>
        <w:t>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ZCSP-渭南市-2025-00561、XHLJZC-WN2025-070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一包：主教学楼暖气片更换工程；二包：综合高中扩招校舍改造工程，详见磋商文件。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采购包1（主教学楼暖气片更换工程）：属于专门面向中小企业采购。</w:t>
      </w:r>
    </w:p>
    <w:p>
      <w:pPr>
        <w:pStyle w:val="null3"/>
      </w:pPr>
      <w:r>
        <w:rPr>
          <w:rFonts w:ascii="仿宋_GB2312" w:hAnsi="仿宋_GB2312" w:cs="仿宋_GB2312" w:eastAsia="仿宋_GB2312"/>
        </w:rPr>
        <w:t>采购包2（综合高中扩招校舍改造工程）：属于专门面向中小企业采购。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1、具有独立承担民事责任的能力：具有独立承担民事责任的能力且具备向采购人提供相关工程及服务的企业法人、其他组织,企业法人应提供统一社会信用代码的营业执照；其他组织应提供合法证明文件。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8、资质条件：8.1提供建筑工程施工总承包三级及以上资质； 8.2提供有效的施工企业安全生产许可证； 8.3项目经理须具备建筑工程专业二级及以上注册建造师证书，有效的安全生产考核合格证书（建安B证），提供无在建项目承诺。</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渭南市开发区东新街15号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蔚晓琪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0913-2116190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采购包1：597,551.10元</w:t>
            </w:r>
          </w:p>
          <w:p>
            <w:pPr>
              <w:pStyle w:val="null3"/>
            </w:pPr>
            <w:r>
              <w:rPr>
                <w:rFonts w:ascii="仿宋_GB2312" w:hAnsi="仿宋_GB2312" w:cs="仿宋_GB2312" w:eastAsia="仿宋_GB2312"/>
              </w:rPr>
              <w:t>采购包2：286,942.76元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渭南技师学院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渭南技师学院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597,551.10</w:t>
      </w:r>
    </w:p>
    <w:p>
      <w:pPr>
        <w:pStyle w:val="null3"/>
      </w:pPr>
      <w:r>
        <w:rPr>
          <w:rFonts w:ascii="仿宋_GB2312" w:hAnsi="仿宋_GB2312" w:cs="仿宋_GB2312" w:eastAsia="仿宋_GB2312"/>
        </w:rPr>
        <w:t>采购包最高限价（元）: 597,551.10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主教学楼暖气片更换工程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597,551.10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286,942.76</w:t>
      </w:r>
    </w:p>
    <w:p>
      <w:pPr>
        <w:pStyle w:val="null3"/>
      </w:pPr>
      <w:r>
        <w:rPr>
          <w:rFonts w:ascii="仿宋_GB2312" w:hAnsi="仿宋_GB2312" w:cs="仿宋_GB2312" w:eastAsia="仿宋_GB2312"/>
        </w:rPr>
        <w:t>采购包最高限价（元）: 286,942.76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综合高中扩招校舍改造工程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286,942.76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标的名称：主教学楼暖气片更换工程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标的名称：综合高中扩招校舍改造工程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合格（达到国家强制性合格标准）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合格（达到国家强制性合格标准）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日；2.付款方式：工程完工后，依据工程资金到位情况，达到付款条件30日内，支付合同总金额的90%；工程竣工验收一年内依据工程资金到位情况，达到付款条件30日内，支付合同总金额的10%；3.质保期：整个项目竣工验收合格之日起1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具有独立承担民事责任的能力且具备向采购人提供相关工程及服务的企业法人、其他组织,企业法人应提供统一社会信用代码的营业执照；其他组织应提供合法证明文件。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8.1提供建筑工程施工总承包三级及以上资质； 8.2提供有效的施工企业安全生产许可证； 8.3项目经理须具备建筑工程专业二级及以上注册建造师证书，有效的安全生产考核合格证书（建安B证），提供无在建项目承诺。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已标价工程量清单 中小企业声明函 磋商保证金缴纳凭证及退还申请表 商务要求响应表 响应文件封面 技术要求响应 政府采购供应商拒绝政府采购领域商业贿赂承诺书 残疾人福利性单位声明函 报价函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 商务要求响应表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对商务要求完全响应竞争性磋商文件要求的得2分。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 ①工程重难点及解决措施:每完全满足一个评审标准得1分，满分3分; ②分部分项工程施工方法:每完全满足一个评审标准得1分，满分3分;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技术要求响应</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 磋商报价得分=（磋商基准价/最终磋商报价）×价格权值（40%）×100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