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版本号：ZCSP-渭南市-2025-0056620250705001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渭南市水土保持示范园水毁修复工程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ZCSP-渭南市-2025-00566</w:t>
      </w:r>
      <w:r>
        <w:br/>
      </w:r>
      <w:r>
        <w:br/>
      </w:r>
      <w:r>
        <w:br/>
      </w:r>
    </w:p>
    <w:p>
      <w:pPr>
        <w:pStyle w:val="null3"/>
        <w:jc w:val="center"/>
        <w:outlineLvl w:val="2"/>
      </w:pPr>
      <w:r>
        <w:rPr>
          <w:rFonts w:ascii="仿宋_GB2312" w:hAnsi="仿宋_GB2312" w:cs="仿宋_GB2312" w:eastAsia="仿宋_GB2312"/>
          <w:sz w:val="28"/>
          <w:b/>
        </w:rPr>
        <w:t>渭南市水土保持和移民工作中心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渭南市水土保持和移民工作中心</w:t>
      </w:r>
      <w:r>
        <w:rPr>
          <w:rFonts w:ascii="仿宋_GB2312" w:hAnsi="仿宋_GB2312" w:cs="仿宋_GB2312" w:eastAsia="仿宋_GB2312"/>
        </w:rPr>
        <w:t>委托，拟对</w:t>
      </w:r>
      <w:r>
        <w:rPr>
          <w:rFonts w:ascii="仿宋_GB2312" w:hAnsi="仿宋_GB2312" w:cs="仿宋_GB2312" w:eastAsia="仿宋_GB2312"/>
        </w:rPr>
        <w:t>渭南市水土保持示范园水毁修复工程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渭南市水土保持示范园水毁修复工程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规划治理水土流失面积为2.06hm²。工程措施为：鸿鹤湖坝顶道路（通村道路）水毁段进行拆除，新修4m宽混凝土路面134m；坝顶道路两侧增设双波护栏214m；鸿鹤湖下游浆砌石谷坊进行加固加宽，环湖路人行步道透水砖水毁段进行拆除整修；鸿鹤湖背水坡滑塌部分进行整修；鸿鹤湖排水明渠修复；栽植水保林、经济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采购包1（渭南市水土保持示范园水毁修复工程）：属于专门面向中小企业采购。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2、企业资质要求：供应商须具备水利水电工程施工总承包三级（含三级）及以上资质，并具有有效的安全生产许可证；</w:t>
      </w:r>
    </w:p>
    <w:p>
      <w:pPr>
        <w:pStyle w:val="null3"/>
      </w:pPr>
      <w:r>
        <w:rPr>
          <w:rFonts w:ascii="仿宋_GB2312" w:hAnsi="仿宋_GB2312" w:cs="仿宋_GB2312" w:eastAsia="仿宋_GB2312"/>
        </w:rPr>
        <w:t>3、项目经理要求：拟派项目经理须具有水利水电工程二级及以上注册建造师资格并具有有效的安全生产考核合格证，且无在建工程；</w:t>
      </w:r>
    </w:p>
    <w:p>
      <w:pPr>
        <w:pStyle w:val="null3"/>
      </w:pPr>
      <w:r>
        <w:rPr>
          <w:rFonts w:ascii="仿宋_GB2312" w:hAnsi="仿宋_GB2312" w:cs="仿宋_GB2312" w:eastAsia="仿宋_GB2312"/>
        </w:rPr>
        <w:t>4、磋商保证金凭证：磋商保证金凭证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渭南市临渭区西南京路46号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渭南市水土保持和移民工作中心经办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13309138998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渭南市水土保持和移民工作中心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地址：陕西省渭南市临渭区解放路北段渭河大街东段南侧（渭南市解放路与五马路十字东侧20米路南）</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749,749.71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渭南市水土保持示范园水毁修复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标的名称：渭南市水土保持示范园水毁修复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标准应符合国家相关工程管理规定及行业标准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后至2025年10月31日前完成；（2）质量标准：达到国家现行施工验收规范“合格”标准；（3）工程地点：渭南市临渭区；（4）付款方式：本工程进度付款依据工程进度情况按比例将进度应付款支付给供应商。工程完工后 ，达到付款条件起 10 日内，支付合同总金额的80.00%；本工程峻工验收后需要进行结算审计，最终的结算审定全额为本工程的最终合同价款；工程竣工验收一年内采购人付清全部合同价款。达到付款条件起10 日内，支付合同总金额的 20.00%；（5）合同条款：具体详见合同附件；（6）技术、服务标准和要求：具体详见本章“3.1技术、服务标准和要求”；（7）质保期：自竣工验收合格之日起一年。 （8）中标（成交）供应商在中标（成交）结果公告发布后3个工作日内提供叁套纸质投标文件（经编标工具生成的文件直接打印并加盖公章），递交的纸质版文件内容确保与线上电子文件保持一致，不允许修改和补充。 （9）成交供应商应在磋商会议结束后3日内向采购人提交最终版《工程量清单表》，供应商最终版《工程量清单表》中的总报价应与最终磋商总报价保持一致。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合法有效，具有独立承担民事责任的能力且具备向采购人提供相关工程的企业法人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承诺函随结果公告一同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供应商须具备水利水电工程施工总承包三级（含三级）及以上资质，并具有有效的安全生产许可证；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拟派项目经理须具有水利水电工程二级及以上注册建造师资格并具有有效的安全生产考核合格证，且无在建工程；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磋商保证金凭证</w:t>
            </w:r>
          </w:p>
        </w:tc>
        <w:tc>
          <w:tcPr>
            <w:tcW w:type="dxa" w:w="3322"/>
          </w:tcPr>
          <w:p>
            <w:pPr>
              <w:pStyle w:val="null3"/>
            </w:pPr>
            <w:r>
              <w:rPr>
                <w:rFonts w:ascii="仿宋_GB2312" w:hAnsi="仿宋_GB2312" w:cs="仿宋_GB2312" w:eastAsia="仿宋_GB2312"/>
              </w:rPr>
              <w:t>磋商保证金凭证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技术方案.docx 已标价工程量清单 中小企业声明函 残疾人福利性单位声明函 法定代表人证明书与法定代表人授权书.docx 技术服务合同条款及其他商务要求应答表 供应商资格证明文件.docx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技术方案.docx 已标价工程量清单 中小企业声明函 残疾人福利性单位声明函 法定代表人证明书与法定代表人授权书.docx 技术服务合同条款及其他商务要求应答表 供应商资格证明文件.docx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经过有效性和符合性审核合格的供应商，对商务要求完全响应采购文件要求的计3分。对商务要求完全响应且优于采购文件要求的，每优于一项加1分，最高加2分。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 xml:space="preserve"> 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1.项目管理机构中每具有一个工程类中级职称得0.5分，具有高级职称得1分；本项最高得2分。 2.根据项目人员配备情况： ①项目管理机构人员配备10人及以上得4分； ②项目管理机构人员配备4-9人得3分； ③项目管理机构人员配备1-3人得1分。 本项目须提供人员相关证件；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