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版本号：HL-ZB2506720250708001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艾滋病检测试剂采购项目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HL-ZB25067</w:t>
      </w:r>
      <w:r>
        <w:br/>
      </w:r>
      <w:r>
        <w:br/>
      </w:r>
      <w:r>
        <w:br/>
      </w:r>
    </w:p>
    <w:p>
      <w:pPr>
        <w:pStyle w:val="null3"/>
        <w:jc w:val="center"/>
        <w:outlineLvl w:val="2"/>
      </w:pPr>
      <w:r>
        <w:rPr>
          <w:rFonts w:ascii="仿宋_GB2312" w:hAnsi="仿宋_GB2312" w:cs="仿宋_GB2312" w:eastAsia="仿宋_GB2312"/>
          <w:sz w:val="28"/>
          <w:b/>
        </w:rPr>
        <w:t>渭南市疾病预防控制中心</w:t>
      </w:r>
    </w:p>
    <w:p>
      <w:pPr>
        <w:pStyle w:val="null3"/>
        <w:jc w:val="center"/>
        <w:outlineLvl w:val="2"/>
      </w:pPr>
      <w:r>
        <w:rPr>
          <w:rFonts w:ascii="仿宋_GB2312" w:hAnsi="仿宋_GB2312" w:cs="仿宋_GB2312" w:eastAsia="仿宋_GB2312"/>
          <w:sz w:val="28"/>
          <w:b/>
        </w:rPr>
        <w:t>陕西宏朗工程项目管理有限公司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陕西宏朗工程项目管理有限公司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渭南市疾病预防控制中心</w:t>
      </w:r>
      <w:r>
        <w:rPr>
          <w:rFonts w:ascii="仿宋_GB2312" w:hAnsi="仿宋_GB2312" w:cs="仿宋_GB2312" w:eastAsia="仿宋_GB2312"/>
        </w:rPr>
        <w:t>委托，拟对</w:t>
      </w:r>
      <w:r>
        <w:rPr>
          <w:rFonts w:ascii="仿宋_GB2312" w:hAnsi="仿宋_GB2312" w:cs="仿宋_GB2312" w:eastAsia="仿宋_GB2312"/>
        </w:rPr>
        <w:t>艾滋病检测试剂采购项目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HL-ZB25067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艾滋病检测试剂采购项目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检测试剂1批，具体内容详见技术要求。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采购包1（渭南市疾病预防控制中心艾滋病检测试剂采购项目）：属于专门面向中小企业采购。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4、依法缴纳税收和社会保障资金：提供2024年6月以来任意3个月依法缴纳税收和社会保险的相关证明材料；注：依法免税或不需要缴纳社会保险的供应商提供相关部门出具的证明文件；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6、无重大违法记录声明：提供参加政府采购活动前3年内在经营活动中没有重大违法记录的书面声明；</w:t>
      </w:r>
    </w:p>
    <w:p>
      <w:pPr>
        <w:pStyle w:val="null3"/>
      </w:pPr>
      <w:r>
        <w:rPr>
          <w:rFonts w:ascii="仿宋_GB2312" w:hAnsi="仿宋_GB2312" w:cs="仿宋_GB2312" w:eastAsia="仿宋_GB2312"/>
        </w:rPr>
        <w:t>7、承诺书：单位负责人为同一人或者存在直接控股、管理关系的不同供应商，不得参加同一合同项下的政府采购活动；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8、资质条件：供应商为代理商提供医疗器械经营许可证，并提供医疗器械注册证，供应商为生产厂家提供医疗器械生产许可证，并提供医疗器械注册证；</w:t>
      </w:r>
    </w:p>
    <w:p>
      <w:pPr>
        <w:pStyle w:val="null3"/>
      </w:pPr>
      <w:r>
        <w:rPr>
          <w:rFonts w:ascii="仿宋_GB2312" w:hAnsi="仿宋_GB2312" w:cs="仿宋_GB2312" w:eastAsia="仿宋_GB2312"/>
        </w:rPr>
        <w:t>9、中小企业声明函：提供《中小企业声明函》；供应商为监狱企业的，应提供监狱企业相关资格证明材料；供应商为残疾人福利性单位的，应提供《残疾人福利性单位声明函》；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0913-2182132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陕西宏朗工程项目管理有限公司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陕西省西安市雁塔区西部电子社区A座C区181号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029-89182390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采购包1：684,450.00元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渭南市疾病预防控制中心</w:t>
      </w:r>
      <w:r>
        <w:rPr>
          <w:rFonts w:ascii="仿宋_GB2312" w:hAnsi="仿宋_GB2312" w:cs="仿宋_GB2312" w:eastAsia="仿宋_GB2312"/>
        </w:rPr>
        <w:t>和</w:t>
      </w:r>
      <w:r>
        <w:rPr>
          <w:rFonts w:ascii="仿宋_GB2312" w:hAnsi="仿宋_GB2312" w:cs="仿宋_GB2312" w:eastAsia="仿宋_GB2312"/>
        </w:rPr>
        <w:t>陕西宏朗工程项目管理有限公司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陕西宏朗工程项目管理有限公司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陕西宏朗工程项目管理有限公司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联系人：宋工</w:t>
      </w:r>
    </w:p>
    <w:p>
      <w:pPr>
        <w:pStyle w:val="null3"/>
      </w:pPr>
      <w:r>
        <w:rPr>
          <w:rFonts w:ascii="仿宋_GB2312" w:hAnsi="仿宋_GB2312" w:cs="仿宋_GB2312" w:eastAsia="仿宋_GB2312"/>
        </w:rPr>
        <w:t>联系电话：029-89182390</w:t>
      </w:r>
    </w:p>
    <w:p>
      <w:pPr>
        <w:pStyle w:val="null3"/>
      </w:pPr>
      <w:r>
        <w:rPr>
          <w:rFonts w:ascii="仿宋_GB2312" w:hAnsi="仿宋_GB2312" w:cs="仿宋_GB2312" w:eastAsia="仿宋_GB2312"/>
        </w:rPr>
        <w:t>地址：陕西省西安市雁塔区西部电子社区A座C区181号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检测试剂1批，具体内容详见技术要求。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684,450.00</w:t>
      </w:r>
    </w:p>
    <w:p>
      <w:pPr>
        <w:pStyle w:val="null3"/>
      </w:pPr>
      <w:r>
        <w:rPr>
          <w:rFonts w:ascii="仿宋_GB2312" w:hAnsi="仿宋_GB2312" w:cs="仿宋_GB2312" w:eastAsia="仿宋_GB2312"/>
        </w:rPr>
        <w:t>采购包最高限价（元）: 684,450.00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艾滋病检测试剂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684,450.00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标的名称：艾滋病检测试剂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513"/>
              <w:gridCol w:w="1337"/>
              <w:gridCol w:w="702"/>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最高单价</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HIV快检试剂</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1、胶体金法或乳胶法；</w:t>
                  </w:r>
                </w:p>
                <w:p>
                  <w:pPr>
                    <w:pStyle w:val="null3"/>
                    <w:jc w:val="left"/>
                  </w:pPr>
                  <w:r>
                    <w:rPr>
                      <w:rFonts w:ascii="仿宋_GB2312" w:hAnsi="仿宋_GB2312" w:cs="仿宋_GB2312" w:eastAsia="仿宋_GB2312"/>
                      <w:sz w:val="21"/>
                    </w:rPr>
                    <w:t>2、可以检测血清、血浆和全血样品；</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加样后10~20分钟内读取结果；</w:t>
                  </w:r>
                  <w:r>
                    <w:br/>
                  </w:r>
                  <w:r>
                    <w:rPr>
                      <w:rFonts w:ascii="仿宋_GB2312" w:hAnsi="仿宋_GB2312" w:cs="仿宋_GB2312" w:eastAsia="仿宋_GB2312"/>
                      <w:sz w:val="21"/>
                    </w:rPr>
                    <w:t xml:space="preserve"> ▲4、敏感度≥100%、特异性≥99.65%，功效率≥99.78%；（参考《2020年全国HIV抗体诊断试剂临床质量评估报告》）</w:t>
                  </w:r>
                  <w:r>
                    <w:br/>
                  </w:r>
                  <w:r>
                    <w:rPr>
                      <w:rFonts w:ascii="仿宋_GB2312" w:hAnsi="仿宋_GB2312" w:cs="仿宋_GB2312" w:eastAsia="仿宋_GB2312"/>
                      <w:sz w:val="21"/>
                    </w:rPr>
                    <w:t xml:space="preserve"> 5、产品有效期24个月，4～30℃常温保存；</w:t>
                  </w:r>
                  <w:r>
                    <w:br/>
                  </w:r>
                  <w:r>
                    <w:rPr>
                      <w:rFonts w:ascii="仿宋_GB2312" w:hAnsi="仿宋_GB2312" w:cs="仿宋_GB2312" w:eastAsia="仿宋_GB2312"/>
                      <w:sz w:val="21"/>
                    </w:rPr>
                    <w:t xml:space="preserve"> 6、▲产品与以下阳性标本，不发生交叉反应：类风湿因子阳性标本、甲肝阳性标本、乙肝阳性标本、丙肝阳性标本、戊肝阳性标本、HAMA 阳性标本、ALT 阳性标本、前列腺特异性抗原阳性标本、梅毒阳性标本、幽门螺旋杆菌抗体阳性标本、癌胚抗原阳性标本、单核细胞增多症阳性标本、风疹阳性标本、单纯疱疹病毒阳性标本、弓形虫阳性标本、巨细胞病毒阳性标本。（提供产品说明书证明）</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1.45/人份</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梅毒螺旋体抗体、人类免疫缺陷病毒抗体、乙型肝炎病毒表面抗原、丙型肝炎病毒抗体联合检测试剂（胶体金法）</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胶体金法或乳胶法；</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试剂可同时检测血液中的梅毒抗体、艾滋抗体、乙肝表面抗原和丙肝抗体等；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可以检测血清、血浆和全血样品</w:t>
                  </w:r>
                  <w:r>
                    <w:rPr>
                      <w:rFonts w:ascii="仿宋_GB2312" w:hAnsi="仿宋_GB2312" w:cs="仿宋_GB2312" w:eastAsia="仿宋_GB2312"/>
                      <w:sz w:val="21"/>
                    </w:rPr>
                    <w:t>，</w:t>
                  </w:r>
                  <w:r>
                    <w:rPr>
                      <w:rFonts w:ascii="仿宋_GB2312" w:hAnsi="仿宋_GB2312" w:cs="仿宋_GB2312" w:eastAsia="仿宋_GB2312"/>
                      <w:sz w:val="21"/>
                    </w:rPr>
                    <w:t>全血样本加样量</w:t>
                  </w:r>
                  <w:r>
                    <w:rPr>
                      <w:rFonts w:ascii="仿宋_GB2312" w:hAnsi="仿宋_GB2312" w:cs="仿宋_GB2312" w:eastAsia="仿宋_GB2312"/>
                      <w:sz w:val="21"/>
                      <w:i/>
                    </w:rPr>
                    <w:t>≤</w:t>
                  </w:r>
                  <w:r>
                    <w:rPr>
                      <w:rFonts w:ascii="仿宋_GB2312" w:hAnsi="仿宋_GB2312" w:cs="仿宋_GB2312" w:eastAsia="仿宋_GB2312"/>
                      <w:sz w:val="21"/>
                    </w:rPr>
                    <w:t>150μL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、采样后15</w:t>
                  </w:r>
                  <w:r>
                    <w:rPr>
                      <w:rFonts w:ascii="仿宋_GB2312" w:hAnsi="仿宋_GB2312" w:cs="仿宋_GB2312" w:eastAsia="仿宋_GB2312"/>
                      <w:sz w:val="21"/>
                    </w:rPr>
                    <w:t>-30</w:t>
                  </w:r>
                  <w:r>
                    <w:rPr>
                      <w:rFonts w:ascii="仿宋_GB2312" w:hAnsi="仿宋_GB2312" w:cs="仿宋_GB2312" w:eastAsia="仿宋_GB2312"/>
                      <w:sz w:val="21"/>
                    </w:rPr>
                    <w:t>分钟内</w:t>
                  </w:r>
                  <w:r>
                    <w:rPr>
                      <w:rFonts w:ascii="仿宋_GB2312" w:hAnsi="仿宋_GB2312" w:cs="仿宋_GB2312" w:eastAsia="仿宋_GB2312"/>
                      <w:sz w:val="21"/>
                    </w:rPr>
                    <w:t>读取</w:t>
                  </w:r>
                  <w:r>
                    <w:rPr>
                      <w:rFonts w:ascii="仿宋_GB2312" w:hAnsi="仿宋_GB2312" w:cs="仿宋_GB2312" w:eastAsia="仿宋_GB2312"/>
                      <w:sz w:val="21"/>
                    </w:rPr>
                    <w:t>结果；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梅毒抗体、艾滋抗体、乙肝表面抗原和丙肝抗体</w:t>
                  </w:r>
                  <w:r>
                    <w:rPr>
                      <w:rFonts w:ascii="仿宋_GB2312" w:hAnsi="仿宋_GB2312" w:cs="仿宋_GB2312" w:eastAsia="仿宋_GB2312"/>
                      <w:sz w:val="21"/>
                    </w:rPr>
                    <w:t>:灵敏度及特异性均&gt;99%；</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产品有效期24个月，</w:t>
                  </w:r>
                  <w:r>
                    <w:rPr>
                      <w:rFonts w:ascii="仿宋_GB2312" w:hAnsi="仿宋_GB2312" w:cs="仿宋_GB2312" w:eastAsia="仿宋_GB2312"/>
                      <w:sz w:val="21"/>
                    </w:rPr>
                    <w:t>4～30℃常温保存。</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17.00/人份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渭南市疾病预防控制中心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根据采购人工作实际需求对产品进行分批采购，全年供货完成并经采购人确认后一次性付清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售后服务响应时间：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1、甲方逾期付款，应就逾期部分向乙方支付按照中国人民银行规定的同期贷款基准利率计算的逾期付款违约金。2、甲方违反合同规定拒绝接货的，应当承担由此对乙方造成的损失。 乙方的违约责任 1、乙方不能按期交货的，每逾期1日，乙方应向甲方赔付合同总价的0.1%作为违约金。2、乙方所交货物不符合国家法律法规和合同规定的，甲方有权拒收，并由乙方承担一切费用。 争议解决 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供应商为代理商提供医疗器械经营许可证，并提供医疗器械注册证，供应商为生产厂家提供医疗器械生产许可证，并提供医疗器械注册证；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（1）未附有采购人不能接受的条件（2）符合招标文件规定的其他实质性要求（3）未违反《中华人民共和国政府采购法》和其他相关法律、法规的规定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投标产品技术参数清楚、明确，有相应齐全的技术资料，完全满足招标技术参数要求得16分；▲负偏离一条扣2分，非▲负偏离一条扣1分；扣完为止。 评审依据：提供生产厂家确认的具有相应的功能证明材料（投标产品彩页（如有）、（产品）说明书、认证证书、评估/质评报告、检测/检验报告等，官网截图等）。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所投产品供货渠道证明</w:t>
            </w:r>
          </w:p>
        </w:tc>
        <w:tc>
          <w:tcPr>
            <w:tcW w:type="dxa" w:w="2492"/>
          </w:tcPr>
          <w:p>
            <w:pPr>
              <w:pStyle w:val="null3"/>
            </w:pPr>
            <w:r>
              <w:rPr>
                <w:rFonts w:ascii="仿宋_GB2312" w:hAnsi="仿宋_GB2312" w:cs="仿宋_GB2312" w:eastAsia="仿宋_GB2312"/>
              </w:rPr>
              <w:t>提供所投产品供货渠道证明：包括但不限于产品授权书、代理协议、销售协议等。未提供的不得分。 证明材料详细完整，计4.1～6分； 证明材料较详细完整，计2.1～4分； 证明材料不详细，计1～2分。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所投产品质量保证承诺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供应商结合本企业实际提供满足本项目采购需求的承诺函，承诺函须注明产品供货质量保证承诺、无条件退换承诺、退换时限，格式自拟，内容完整无缺陷）。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针对本项目特点制定整体实施方案。未提供的不得分。整体实施方案针对性强，对用户及项目了解全面，可行性强，内容完整、能够安全、保质、保量完成，计4.1～6分； 实施方案针对性较强，可行性一般，计2.1～4分； 实施方案无针对性，内容缺失，计1～2分。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本项目工作人员组成情况</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提供拟派本项目工作人员组成情况（有具体成员名单，包括姓名、工作经验、工作年限、工作职责、联系方式等）。未提供的不得分。 结构合理、分工明确，计4.1～6分； 分工较明确、可基本完成，计2.1～4分； 分工不明确，计1～2分。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仓储及设施设备</w:t>
            </w:r>
          </w:p>
        </w:tc>
        <w:tc>
          <w:tcPr>
            <w:tcW w:type="dxa" w:w="2492"/>
          </w:tcPr>
          <w:p>
            <w:pPr>
              <w:pStyle w:val="null3"/>
            </w:pPr>
            <w:r>
              <w:rPr>
                <w:rFonts w:ascii="仿宋_GB2312" w:hAnsi="仿宋_GB2312" w:cs="仿宋_GB2312" w:eastAsia="仿宋_GB2312"/>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材料完整、阐述条理清晰、设施齐全能确保项目顺利实施，计4.1～6分； 材料、设施证明材料基本完成，对产品供应有一定保障，计2.1～4分； 材料、设施证明材料不全，对产品供应无保障，计1～2分。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应急预案及合理化建议</w:t>
            </w:r>
          </w:p>
        </w:tc>
        <w:tc>
          <w:tcPr>
            <w:tcW w:type="dxa" w:w="2492"/>
          </w:tcPr>
          <w:p>
            <w:pPr>
              <w:pStyle w:val="null3"/>
            </w:pPr>
            <w:r>
              <w:rPr>
                <w:rFonts w:ascii="仿宋_GB2312" w:hAnsi="仿宋_GB2312" w:cs="仿宋_GB2312" w:eastAsia="仿宋_GB2312"/>
              </w:rPr>
              <w:t>提供应急预及合理化建议（包括但不限于紧急保障措施、其他应急突发状况处置磋商、针对产品的保存方式，以及仓储管理提出合理化建议的方案）。未提供不得分。内容完善全面、可实施性强、方案能够紧扣项目实际情况，内容科学合理，计4.1～6分； 内容较完善、可实施性较强、针对性一般，计2.1～4分； 内容不完善，方案缺失，计1～2分。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提供2022年1月1日以来供应商同类项目的业绩合同（以合同签订日期为准），附业绩合同复印件加盖公章，每份2分。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承诺。未提供不得分。完全承诺招标文件和合同条款的要求，有具体可行的售后服务承诺、质量保证承诺（包括但不限于响应时间、产品外观及质量发生问题时的补救措施等），保证用户能正常使用并提供应急解决问题的承诺，计4.1～6分； 售后服务承诺一般、质量保证一般，计2.1～4分； 售后服务承诺欠缺，计1～2分。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