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版本号：ZCSP-渭南市-2025-0058320250711002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渭南市空气质量预警预报能力提升项目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ZCSP-渭南市-2025-00583</w:t>
      </w:r>
      <w:r>
        <w:br/>
      </w:r>
      <w:r>
        <w:br/>
      </w:r>
      <w:r>
        <w:br/>
      </w:r>
    </w:p>
    <w:p>
      <w:pPr>
        <w:pStyle w:val="null3"/>
        <w:jc w:val="center"/>
        <w:outlineLvl w:val="2"/>
      </w:pPr>
      <w:r>
        <w:rPr>
          <w:rFonts w:ascii="仿宋_GB2312" w:hAnsi="仿宋_GB2312" w:cs="仿宋_GB2312" w:eastAsia="仿宋_GB2312"/>
          <w:sz w:val="28"/>
          <w:b/>
        </w:rPr>
        <w:t>渭南市环境保护监测站</w:t>
      </w:r>
    </w:p>
    <w:p>
      <w:pPr>
        <w:pStyle w:val="null3"/>
        <w:jc w:val="center"/>
        <w:outlineLvl w:val="2"/>
      </w:pPr>
      <w:r>
        <w:rPr>
          <w:rFonts w:ascii="仿宋_GB2312" w:hAnsi="仿宋_GB2312" w:cs="仿宋_GB2312" w:eastAsia="仿宋_GB2312"/>
          <w:sz w:val="28"/>
          <w:b/>
        </w:rPr>
        <w:t>陕西嘉信至诚项目管理有限公司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渭南市环境保护监测站</w:t>
      </w:r>
      <w:r>
        <w:rPr>
          <w:rFonts w:ascii="仿宋_GB2312" w:hAnsi="仿宋_GB2312" w:cs="仿宋_GB2312" w:eastAsia="仿宋_GB2312"/>
        </w:rPr>
        <w:t>委托，拟对</w:t>
      </w:r>
      <w:r>
        <w:rPr>
          <w:rFonts w:ascii="仿宋_GB2312" w:hAnsi="仿宋_GB2312" w:cs="仿宋_GB2312" w:eastAsia="仿宋_GB2312"/>
        </w:rPr>
        <w:t>渭南市空气质量预警预报能力提升项目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ZCSP-渭南市-2025-00583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渭南市空气质量预警预报能力提升项目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本项目依托渭南市环境保护监测站现有数据资源提升渭南市空气质量预警预报能力，建设内容包括空气质量预报模式建设、空气质量预警预报平台建设、互联网区资源配置服务、驻场人员服务等内容。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1、法定代表人身份证明书/法定代表人授权书：法定代表人参与投标时需提供法定代表人身份证明书；被授权人参与投标时需提供法定代表人授权委托书；</w:t>
      </w:r>
    </w:p>
    <w:p>
      <w:pPr>
        <w:pStyle w:val="null3"/>
      </w:pPr>
      <w:r>
        <w:rPr>
          <w:rFonts w:ascii="仿宋_GB2312" w:hAnsi="仿宋_GB2312" w:cs="仿宋_GB2312" w:eastAsia="仿宋_GB2312"/>
        </w:rPr>
        <w:t>2、投标保证金交纳凭证：投标保证金交纳凭证；</w:t>
      </w:r>
    </w:p>
    <w:p>
      <w:pPr>
        <w:pStyle w:val="null3"/>
      </w:pPr>
      <w:r>
        <w:rPr>
          <w:rFonts w:ascii="仿宋_GB2312" w:hAnsi="仿宋_GB2312" w:cs="仿宋_GB2312" w:eastAsia="仿宋_GB2312"/>
        </w:rPr>
        <w:t>3、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渭南市环境保护监测站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渭南市站北街9号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0913-2368068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陕西省渭南市临渭区解放路与双王街十字东南角商贸楼三楼东侧（槐衙曦和公馆南门斜对面）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刘仁杰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招标代理服务收费管理暂行办法》（国家发改委计价格〔2002〕1980号）以及国家发改价格〔2011〕534号文件规定中代理费计算方式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渭南市环境保护监测站</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渭南市环境保护监测站</w:t>
      </w:r>
      <w:r>
        <w:rPr>
          <w:rFonts w:ascii="仿宋_GB2312" w:hAnsi="仿宋_GB2312" w:cs="仿宋_GB2312" w:eastAsia="仿宋_GB2312"/>
        </w:rPr>
        <w:t>负责解释。除上述招标文件内容，其他内容由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渭南市环境保护监测站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达到国家及行业验收合格标准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联系人：刘仁杰</w:t>
      </w:r>
    </w:p>
    <w:p>
      <w:pPr>
        <w:pStyle w:val="null3"/>
      </w:pPr>
      <w:r>
        <w:rPr>
          <w:rFonts w:ascii="仿宋_GB2312" w:hAnsi="仿宋_GB2312" w:cs="仿宋_GB2312" w:eastAsia="仿宋_GB2312"/>
        </w:rPr>
        <w:t>联系电话：0913-2130688</w:t>
      </w:r>
    </w:p>
    <w:p>
      <w:pPr>
        <w:pStyle w:val="null3"/>
      </w:pPr>
      <w:r>
        <w:rPr>
          <w:rFonts w:ascii="仿宋_GB2312" w:hAnsi="仿宋_GB2312" w:cs="仿宋_GB2312" w:eastAsia="仿宋_GB2312"/>
        </w:rPr>
        <w:t>地址：陕西省渭南市临渭区解放路与双王街十字东南角商贸楼三楼东侧（槐衙曦和公馆南门斜对面）</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本项目依托渭南市环境保护监测站现有数据资源提升渭南市空气质量预警预报能力，建设内容包括空气质量预报模式建设、空气质量预警预报平台建设、互联网区资源配置服务、驻场人员服务等内容。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5,620,000.00</w:t>
      </w:r>
    </w:p>
    <w:p>
      <w:pPr>
        <w:pStyle w:val="null3"/>
      </w:pPr>
      <w:r>
        <w:rPr>
          <w:rFonts w:ascii="仿宋_GB2312" w:hAnsi="仿宋_GB2312" w:cs="仿宋_GB2312" w:eastAsia="仿宋_GB2312"/>
        </w:rPr>
        <w:t>采购包最高限价（元）: 5,620,000.00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渭南市空气质量预警预报能力提升项目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标的名称：渭南市空气质量预警预报能力提升项目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空气质量预报模式建设</w:t>
            </w:r>
          </w:p>
          <w:p>
            <w:pPr>
              <w:pStyle w:val="null3"/>
              <w:ind w:firstLine="480"/>
              <w:jc w:val="both"/>
            </w:pPr>
            <w:r>
              <w:rPr>
                <w:rFonts w:ascii="仿宋_GB2312" w:hAnsi="仿宋_GB2312" w:cs="仿宋_GB2312" w:eastAsia="仿宋_GB2312"/>
                <w:sz w:val="24"/>
              </w:rPr>
              <w:t>以气象预报模式和污染源清单为基础，采用成熟的空气质量数值预报模式和智能集合预报方法，实现渭南市及周边地区未来</w:t>
            </w:r>
            <w:r>
              <w:rPr>
                <w:rFonts w:ascii="仿宋_GB2312" w:hAnsi="仿宋_GB2312" w:cs="仿宋_GB2312" w:eastAsia="仿宋_GB2312"/>
                <w:sz w:val="24"/>
              </w:rPr>
              <w:t>7-10日逐小时精细化空气质量预报，实现对未来空气质量状况、空气污染演变规律、空气污染成因的全面分析。</w:t>
            </w:r>
          </w:p>
          <w:tbl>
            <w:tblPr>
              <w:tblBorders>
                <w:top w:val="none" w:color="000000" w:sz="4"/>
                <w:left w:val="none" w:color="000000" w:sz="4"/>
                <w:bottom w:val="none" w:color="000000" w:sz="4"/>
                <w:right w:val="none" w:color="000000" w:sz="4"/>
                <w:insideH w:val="none"/>
                <w:insideV w:val="none"/>
              </w:tblBorders>
            </w:tblPr>
            <w:tblGrid>
              <w:gridCol w:w="199"/>
              <w:gridCol w:w="523"/>
              <w:gridCol w:w="527"/>
              <w:gridCol w:w="1304"/>
            </w:tblGrid>
            <w:tr>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序号</w:t>
                  </w:r>
                </w:p>
              </w:tc>
              <w:tc>
                <w:tcPr>
                  <w:tcW w:type="dxa" w:w="5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一级建设内容</w:t>
                  </w:r>
                </w:p>
              </w:tc>
              <w:tc>
                <w:tcPr>
                  <w:tcW w:type="dxa" w:w="5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二级建设内容</w:t>
                  </w:r>
                </w:p>
              </w:tc>
              <w:tc>
                <w:tcPr>
                  <w:tcW w:type="dxa" w:w="1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具体建设内容</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多尺度排放清单对接融合</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多尺度排放清单对接融合</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支持区域网格排放污染源清单融合，预留本地排放源清单（编制清单）对接接口，支持符合条件的城市本地清单融合处理。对接融合主要包括清单对接汇聚、清单格式转换、规范化处理、清单融合。</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排放清单时空分配网格化</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排放清单时空分配网格化</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根据模式设置的区域范围、网格数量等，实现排放特征提取、空间分配、时间分配、分物种排放总量校核、行业分配等，实现排放清单网格化处理，为后续驱动空气质量预报模式运行提供基础。</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排放清单动态反演更新</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排放清单动态反演更新</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本项目基于多源污染监测数据，利用自上而下的清单反演技术，优化大气污染物排放清单，能够提高预报模式准确度、污染溯源准确性、污染行业管控效率等。</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WRF气象模式搭建</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WRF气象模式搭建</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搭建本地的</w:t>
                  </w:r>
                  <w:r>
                    <w:rPr>
                      <w:rFonts w:ascii="仿宋_GB2312" w:hAnsi="仿宋_GB2312" w:cs="仿宋_GB2312" w:eastAsia="仿宋_GB2312"/>
                      <w:sz w:val="24"/>
                    </w:rPr>
                    <w:t>WRF模式，实现GFS数据获取检查、WPS方案预处理、气象模式模拟预报等模块的业务化运行，掌握气象形势变化，为空气质量预报、环境气象预报提供支撑。</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w:t>
                  </w:r>
                </w:p>
              </w:tc>
              <w:tc>
                <w:tcPr>
                  <w:tcW w:type="dxa" w:w="5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空气质量预报模式搭建</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CMAQ模式</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搭建本地的</w:t>
                  </w:r>
                  <w:r>
                    <w:rPr>
                      <w:rFonts w:ascii="仿宋_GB2312" w:hAnsi="仿宋_GB2312" w:cs="仿宋_GB2312" w:eastAsia="仿宋_GB2312"/>
                      <w:sz w:val="24"/>
                    </w:rPr>
                    <w:t>CMAQ模型，实现CMAQ预报模式模拟计算关键过程的业务自动运行，用于空气质量预报。</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w:t>
                  </w:r>
                </w:p>
              </w:tc>
              <w:tc>
                <w:tcPr>
                  <w:tcW w:type="dxa" w:w="523"/>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CAMx模式</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搭建本地的</w:t>
                  </w:r>
                  <w:r>
                    <w:rPr>
                      <w:rFonts w:ascii="仿宋_GB2312" w:hAnsi="仿宋_GB2312" w:cs="仿宋_GB2312" w:eastAsia="仿宋_GB2312"/>
                      <w:sz w:val="24"/>
                    </w:rPr>
                    <w:t>CAMx模型，实现CAMx预报模式模拟计算关键过程的业务自动运行，用于空气质量预报</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7</w:t>
                  </w:r>
                </w:p>
              </w:tc>
              <w:tc>
                <w:tcPr>
                  <w:tcW w:type="dxa" w:w="523"/>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智能集合预报模式</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将模式的预报结果和对应的气象数据输入神经网络模型，以污染物观测数据为目标值对模型进行训练，得出数值模式预报的集合结果。</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w:t>
                  </w:r>
                </w:p>
              </w:tc>
              <w:tc>
                <w:tcPr>
                  <w:tcW w:type="dxa" w:w="523"/>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三维立体资料同化</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综合利用各种来源的观测数据，包括地面气象站、卫星遥感、雷达探测等不同类型的观测资料，对数值天气预报模式的初始场进行优化，从而改善预报的准确性。</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9</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智能择优预报模式</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智能择优预报模式</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基于海量的污染观测数据及气象预报数据，融合样本采样、在线学习等先进技术方法，构建智能预报择优模型，实现城市未来</w:t>
                  </w:r>
                  <w:r>
                    <w:rPr>
                      <w:rFonts w:ascii="仿宋_GB2312" w:hAnsi="仿宋_GB2312" w:cs="仿宋_GB2312" w:eastAsia="仿宋_GB2312"/>
                      <w:sz w:val="24"/>
                    </w:rPr>
                    <w:t>7-10日空气质量预报，为城市空气质量预报，提供一套机器学习污染物预报结果。</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c>
                <w:tcPr>
                  <w:tcW w:type="dxa" w:w="5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污染溯源分析模式</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小尺度溯源模式</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搭建本地的</w:t>
                  </w:r>
                  <w:r>
                    <w:rPr>
                      <w:rFonts w:ascii="仿宋_GB2312" w:hAnsi="仿宋_GB2312" w:cs="仿宋_GB2312" w:eastAsia="仿宋_GB2312"/>
                      <w:sz w:val="24"/>
                    </w:rPr>
                    <w:t>FLEXPART模型，利用搭建的WRF 模式所输出的气象场驱动FLEXPART模式，结合本地排放源清单，定性分析大气污染的扩散情况；定量估计大气污染物的区域贡献，揭示污染物输送途径及潜在源区空间。</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r>
                    <w:rPr>
                      <w:rFonts w:ascii="仿宋_GB2312" w:hAnsi="仿宋_GB2312" w:cs="仿宋_GB2312" w:eastAsia="仿宋_GB2312"/>
                      <w:sz w:val="24"/>
                    </w:rPr>
                    <w:t>1</w:t>
                  </w:r>
                </w:p>
              </w:tc>
              <w:tc>
                <w:tcPr>
                  <w:tcW w:type="dxa" w:w="523"/>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气团轨迹模式</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利用</w:t>
                  </w:r>
                  <w:r>
                    <w:rPr>
                      <w:rFonts w:ascii="仿宋_GB2312" w:hAnsi="仿宋_GB2312" w:cs="仿宋_GB2312" w:eastAsia="仿宋_GB2312"/>
                      <w:sz w:val="24"/>
                    </w:rPr>
                    <w:t>HYSPLIT建立气团前向、后向轨迹预报模块，实现城市未来3天三个不同高度层的气团前、后向轨迹模拟预测及轨迹聚类结果分析，为污染气团地面及高空传输分析提供支撑。</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r>
                    <w:rPr>
                      <w:rFonts w:ascii="仿宋_GB2312" w:hAnsi="仿宋_GB2312" w:cs="仿宋_GB2312" w:eastAsia="仿宋_GB2312"/>
                      <w:sz w:val="24"/>
                    </w:rPr>
                    <w:t>2</w:t>
                  </w:r>
                </w:p>
              </w:tc>
              <w:tc>
                <w:tcPr>
                  <w:tcW w:type="dxa" w:w="523"/>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浓度权重轨迹（</w:t>
                  </w:r>
                  <w:r>
                    <w:rPr>
                      <w:rFonts w:ascii="仿宋_GB2312" w:hAnsi="仿宋_GB2312" w:cs="仿宋_GB2312" w:eastAsia="仿宋_GB2312"/>
                      <w:sz w:val="24"/>
                    </w:rPr>
                    <w:t>CWT）与潜在源贡献函数（PSCF）分析方法</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基于潜在源贡献函数（</w:t>
                  </w:r>
                  <w:r>
                    <w:rPr>
                      <w:rFonts w:ascii="仿宋_GB2312" w:hAnsi="仿宋_GB2312" w:cs="仿宋_GB2312" w:eastAsia="仿宋_GB2312"/>
                      <w:sz w:val="24"/>
                    </w:rPr>
                    <w:t>PSCF）/浓度权重轨迹（CWT）分析方法，通过逆推粒子的主要经过区域，分析污染物传输、受影响因素及气团输送特征等，掌握重污染过程的产生、扩散、消散及结束全过程。</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r>
                    <w:rPr>
                      <w:rFonts w:ascii="仿宋_GB2312" w:hAnsi="仿宋_GB2312" w:cs="仿宋_GB2312" w:eastAsia="仿宋_GB2312"/>
                      <w:sz w:val="24"/>
                    </w:rPr>
                    <w:t>3</w:t>
                  </w:r>
                </w:p>
              </w:tc>
              <w:tc>
                <w:tcPr>
                  <w:tcW w:type="dxa" w:w="523"/>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颗粒物溯源模式</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基于示踪物方法来追踪选定网格污染物浓度的源区域和源类别贡献。</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0"/>
              <w:jc w:val="both"/>
            </w:pPr>
            <w:r>
              <w:rPr>
                <w:rFonts w:ascii="仿宋_GB2312" w:hAnsi="仿宋_GB2312" w:cs="仿宋_GB2312" w:eastAsia="仿宋_GB2312"/>
                <w:sz w:val="24"/>
              </w:rPr>
              <w:t>2、空气质量预警预报平台建设</w:t>
            </w:r>
          </w:p>
          <w:p>
            <w:pPr>
              <w:pStyle w:val="null3"/>
              <w:ind w:firstLine="480"/>
              <w:jc w:val="both"/>
            </w:pPr>
            <w:r>
              <w:rPr>
                <w:rFonts w:ascii="仿宋_GB2312" w:hAnsi="仿宋_GB2312" w:cs="仿宋_GB2312" w:eastAsia="仿宋_GB2312"/>
                <w:sz w:val="24"/>
              </w:rPr>
              <w:t>建设渭南市空气质量预警预报业务平台，有效提升渭南市空气质量预报能力及污染应急决策能力，支撑渭南市大气环境管理部门的大气污染防治工作。</w:t>
            </w:r>
          </w:p>
          <w:tbl>
            <w:tblPr>
              <w:tblInd w:type="dxa" w:w="135"/>
              <w:tblBorders>
                <w:top w:val="none" w:color="000000" w:sz="4"/>
                <w:left w:val="none" w:color="000000" w:sz="4"/>
                <w:bottom w:val="none" w:color="000000" w:sz="4"/>
                <w:right w:val="none" w:color="000000" w:sz="4"/>
                <w:insideH w:val="none"/>
                <w:insideV w:val="none"/>
              </w:tblBorders>
            </w:tblPr>
            <w:tblGrid>
              <w:gridCol w:w="200"/>
              <w:gridCol w:w="365"/>
              <w:gridCol w:w="381"/>
              <w:gridCol w:w="1606"/>
            </w:tblGrid>
            <w:tr>
              <w:tc>
                <w:tcPr>
                  <w:tcW w:type="dxa" w:w="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序号</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一级模块</w:t>
                  </w:r>
                </w:p>
              </w:tc>
              <w:tc>
                <w:tcPr>
                  <w:tcW w:type="dxa" w:w="3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二级模块</w:t>
                  </w:r>
                </w:p>
              </w:tc>
              <w:tc>
                <w:tcPr>
                  <w:tcW w:type="dxa" w:w="16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具体建设内容</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3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大数据分析场景搭建</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数据资料对接融合</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实现渭南市（含韩城市）现有的多样化数据源基础上，包括标准</w:t>
                  </w:r>
                  <w:r>
                    <w:rPr>
                      <w:rFonts w:ascii="仿宋_GB2312" w:hAnsi="仿宋_GB2312" w:cs="仿宋_GB2312" w:eastAsia="仿宋_GB2312"/>
                      <w:sz w:val="24"/>
                    </w:rPr>
                    <w:t>6参数站（超过140个）、VOC组分站（1个）、颗粒物雷达（2个）、臭氧雷达（1个）等相关站点数据，以及国省控站点数据、污染源数据、气象数据、污染物组分特征及来源数据、陕西省生态环境厅发布的空气质量实时数据等多元异构数据的采集、汇聚与融合</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365"/>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数据集成质控管理</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构建大气环境数据集成质控管理模块，实现大气环境数据资源的有效汇聚、处理与融合，解决数据标准不统一、数据质量不佳，数据无法高效服务业务等问题，保障大气环境数据的有效性，为业务应用分析提供高质量数据基础。</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w:t>
                  </w:r>
                </w:p>
              </w:tc>
              <w:tc>
                <w:tcPr>
                  <w:tcW w:type="dxa" w:w="365"/>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数据资料存储管理</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构建大气环境数据存储管理模块，结合数据特点、业务应用实现大气环境数据全面高效的分类存储管理，实现结构化与非结构化数据的分类规范存储管理，为大气环境业务分析提供支撑，同时促进大气环境数据价值有效发掘，支撑精准高效的业务分析和决策。</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w:t>
                  </w:r>
                </w:p>
              </w:tc>
              <w:tc>
                <w:tcPr>
                  <w:tcW w:type="dxa" w:w="365"/>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环境气象时空地图</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直观展示区域城市、站点六项常规污染浓度值、</w:t>
                  </w:r>
                  <w:r>
                    <w:rPr>
                      <w:rFonts w:ascii="仿宋_GB2312" w:hAnsi="仿宋_GB2312" w:cs="仿宋_GB2312" w:eastAsia="仿宋_GB2312"/>
                      <w:sz w:val="24"/>
                    </w:rPr>
                    <w:t>AQI分布状况。支持气象要素分布图，拉格朗日动态粒子风场叠加，监测和预报数据无缝衔接展示，为大气环境信息全面掌握，污染问题发现及污染过程应对提供支撑。通过GIS技术精准描绘空气质量的空间分布特征及其变化趋势，使用户能够迅速把握空气质量动态。</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w:t>
                  </w:r>
                </w:p>
              </w:tc>
              <w:tc>
                <w:tcPr>
                  <w:tcW w:type="dxa" w:w="365"/>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空气质量监测分析</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搭建空气质量监测分析一张图，宏观掌握渭南市及各区县的空气质量变化，有助于研判空气质量特征。</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w:t>
                  </w:r>
                </w:p>
              </w:tc>
              <w:tc>
                <w:tcPr>
                  <w:tcW w:type="dxa" w:w="365"/>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空气质量预报分析</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搭建空气质量预报分析一张图，宏观掌握渭南市及各区县的空气质量预报数据，有助于研判空气质量未来演变趋势。</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7</w:t>
                  </w:r>
                </w:p>
              </w:tc>
              <w:tc>
                <w:tcPr>
                  <w:tcW w:type="dxa" w:w="365"/>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空气污染识别预警</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基于空气质量监测实况以及模式预报结果，依据本地预警规则，实现空气污染预警提示信息生成。基于沙尘判定标准，识别沙尘污染过程，并提供沙尘预警信息。</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w:t>
                  </w:r>
                </w:p>
              </w:tc>
              <w:tc>
                <w:tcPr>
                  <w:tcW w:type="dxa" w:w="3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大气环境质量分析</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空气质量排名</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按区域、按城市、按区县、按站点进行分析评价，支持对常规六项或单项参数的筛选计算与排序分析，分析内容包括常规六参数、综合指数、最大质量指数、综合指数同比变化率和环境空气质量变化程度排名。</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9</w:t>
                  </w:r>
                </w:p>
              </w:tc>
              <w:tc>
                <w:tcPr>
                  <w:tcW w:type="dxa" w:w="365"/>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区域实况分布</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基于空气质量监测数据，绘制污染实况分布图，提供六项常规污染物浓度、</w:t>
                  </w:r>
                  <w:r>
                    <w:rPr>
                      <w:rFonts w:ascii="仿宋_GB2312" w:hAnsi="仿宋_GB2312" w:cs="仿宋_GB2312" w:eastAsia="仿宋_GB2312"/>
                      <w:sz w:val="24"/>
                    </w:rPr>
                    <w:t>AQI与风场叠加分布，为空气质量实况进行回顾与再分析提供支撑。</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c>
                <w:tcPr>
                  <w:tcW w:type="dxa" w:w="365"/>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变化趋势分析</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根据城市、区县、站点的空气质量数据绘制时序图，实现单站点</w:t>
                  </w:r>
                  <w:r>
                    <w:rPr>
                      <w:rFonts w:ascii="仿宋_GB2312" w:hAnsi="仿宋_GB2312" w:cs="仿宋_GB2312" w:eastAsia="仿宋_GB2312"/>
                      <w:sz w:val="24"/>
                    </w:rPr>
                    <w:t>/区域在多个时段的空气质量变化对比分析、多点位/区域在同一时段的空气质量对比分析和多点位/区域的空气质量的距平分析。</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11</w:t>
                  </w:r>
                </w:p>
              </w:tc>
              <w:tc>
                <w:tcPr>
                  <w:tcW w:type="dxa" w:w="365"/>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空间对比分析</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平台提供多站点</w:t>
                  </w:r>
                  <w:r>
                    <w:rPr>
                      <w:rFonts w:ascii="仿宋_GB2312" w:hAnsi="仿宋_GB2312" w:cs="仿宋_GB2312" w:eastAsia="仿宋_GB2312"/>
                      <w:sz w:val="24"/>
                    </w:rPr>
                    <w:t>/区县间空气质量的对比分析，包括站点和区县对比，站点和片区对比，站点和全市对比、单站点与所有国控点对比，站点和周边关联站点对比，便于分析城市、各区县污染物关联及趋势变化。</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12</w:t>
                  </w:r>
                </w:p>
              </w:tc>
              <w:tc>
                <w:tcPr>
                  <w:tcW w:type="dxa" w:w="365"/>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污染关联分析</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平台提供因子间关联分析功能，可展示多指标相关系数矩阵图、变化趋势时间序列图、散点图和统计表格。</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13</w:t>
                  </w:r>
                </w:p>
              </w:tc>
              <w:tc>
                <w:tcPr>
                  <w:tcW w:type="dxa" w:w="365"/>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玫瑰图分析</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将风向角度数据处理成</w:t>
                  </w:r>
                  <w:r>
                    <w:rPr>
                      <w:rFonts w:ascii="仿宋_GB2312" w:hAnsi="仿宋_GB2312" w:cs="仿宋_GB2312" w:eastAsia="仿宋_GB2312"/>
                      <w:sz w:val="24"/>
                    </w:rPr>
                    <w:t>16个风向方位结果，统计每个风向上的污染物或风速数据量，并绘制污染玫瑰图，颜色表示污染物浓度或风速水平，扇形或扇环表示污染物或风速出现在相应数值区间的频率。</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14</w:t>
                  </w:r>
                </w:p>
              </w:tc>
              <w:tc>
                <w:tcPr>
                  <w:tcW w:type="dxa" w:w="365"/>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日历图分析</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以日历图形式展示单个</w:t>
                  </w:r>
                  <w:r>
                    <w:rPr>
                      <w:rFonts w:ascii="仿宋_GB2312" w:hAnsi="仿宋_GB2312" w:cs="仿宋_GB2312" w:eastAsia="仿宋_GB2312"/>
                      <w:sz w:val="24"/>
                    </w:rPr>
                    <w:t>/多个站点或区县年度、月度每日的空气质量状况，分别提供六项污染物、AQI和首要污染物日历刷色，支持对优良天数和污染天数逐月统计，便于直观了解全年逐月空气质量状况，污染天数等信息。</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15</w:t>
                  </w:r>
                </w:p>
              </w:tc>
              <w:tc>
                <w:tcPr>
                  <w:tcW w:type="dxa" w:w="365"/>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星期污染物分析</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指定城市</w:t>
                  </w:r>
                  <w:r>
                    <w:rPr>
                      <w:rFonts w:ascii="仿宋_GB2312" w:hAnsi="仿宋_GB2312" w:cs="仿宋_GB2312" w:eastAsia="仿宋_GB2312"/>
                      <w:sz w:val="24"/>
                    </w:rPr>
                    <w:t>/区县的星期污染物分析功能，分析不同污染物以星期为时间单位的浓度变化趋势图，分析精度准确到小时值，便于了解污染物周末效应。</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16</w:t>
                  </w:r>
                </w:p>
              </w:tc>
              <w:tc>
                <w:tcPr>
                  <w:tcW w:type="dxa" w:w="3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环境气象预报分析</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城市气象预报</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以时序图表形式提供城市气象预报，包括温度、相对湿度、降水量等气象要素与污染物浓度的对比展示，便于了解未来气象条件演变态势，辅助分析未来空气质量状况。</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17</w:t>
                  </w:r>
                </w:p>
              </w:tc>
              <w:tc>
                <w:tcPr>
                  <w:tcW w:type="dxa" w:w="365"/>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天气形势预报</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提供区域天气形势和气象要素分布展示，包括高度场、温度场、风场、相对湿度场等，便于分析了解气象条件与形势变化情况。</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18</w:t>
                  </w:r>
                </w:p>
              </w:tc>
              <w:tc>
                <w:tcPr>
                  <w:tcW w:type="dxa" w:w="365"/>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气象预报资料</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在平台上实现不同尺度区域（全国、陕西及周边城市、渭南市）</w:t>
                  </w:r>
                  <w:r>
                    <w:rPr>
                      <w:rFonts w:ascii="仿宋_GB2312" w:hAnsi="仿宋_GB2312" w:cs="仿宋_GB2312" w:eastAsia="仿宋_GB2312"/>
                      <w:sz w:val="24"/>
                    </w:rPr>
                    <w:t>WRF气象数值预报产品结果的时空可视化表达。</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19</w:t>
                  </w:r>
                </w:p>
              </w:tc>
              <w:tc>
                <w:tcPr>
                  <w:tcW w:type="dxa" w:w="365"/>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城市气象实况</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支持对气象监测数据进行时间、站点、气象要素的自定义筛选功能，可查询过去一段时间内城市或者站点的主要气象要素变化情况。</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w:t>
                  </w:r>
                </w:p>
              </w:tc>
              <w:tc>
                <w:tcPr>
                  <w:tcW w:type="dxa" w:w="365"/>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气象实况资料</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集成中央气象台、韩国气象厅、欧洲中心等气象实况资料图，提供来源和要素两种方式查询，为综合实际情况的天气形势分析提供支撑。</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21</w:t>
                  </w:r>
                </w:p>
              </w:tc>
              <w:tc>
                <w:tcPr>
                  <w:tcW w:type="dxa" w:w="365"/>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模式多维分析</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利用</w:t>
                  </w:r>
                  <w:r>
                    <w:rPr>
                      <w:rFonts w:ascii="仿宋_GB2312" w:hAnsi="仿宋_GB2312" w:cs="仿宋_GB2312" w:eastAsia="仿宋_GB2312"/>
                      <w:sz w:val="24"/>
                    </w:rPr>
                    <w:t>WebGIS技术，在平台上基于不同的模式预报、预报区域、预报指标、预报时长的模拟结果，提供多模式、多参数、多时刻、多区域四种分析方法对预报指导产品进行时空可视化表达。</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22</w:t>
                  </w:r>
                </w:p>
              </w:tc>
              <w:tc>
                <w:tcPr>
                  <w:tcW w:type="dxa" w:w="365"/>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垂直预报分析</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基于空气质量数值预报和</w:t>
                  </w:r>
                  <w:r>
                    <w:rPr>
                      <w:rFonts w:ascii="仿宋_GB2312" w:hAnsi="仿宋_GB2312" w:cs="仿宋_GB2312" w:eastAsia="仿宋_GB2312"/>
                      <w:sz w:val="24"/>
                    </w:rPr>
                    <w:t>WRF气象数值预报的模型预报产品，提供模式预报的探空图分析不同预报时刻大气层结垂直变化、提供污染物浓度垂直分布图分析垂直方向时间剖面的变化、提供能见度与边界层高度叠加图分析要素的连续变化趋势。</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23</w:t>
                  </w:r>
                </w:p>
              </w:tc>
              <w:tc>
                <w:tcPr>
                  <w:tcW w:type="dxa" w:w="365"/>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市县预报分析</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基于不同的模式预报，提供多个模式污染物和气象要素逐小时</w:t>
                  </w:r>
                  <w:r>
                    <w:rPr>
                      <w:rFonts w:ascii="仿宋_GB2312" w:hAnsi="仿宋_GB2312" w:cs="仿宋_GB2312" w:eastAsia="仿宋_GB2312"/>
                      <w:sz w:val="24"/>
                    </w:rPr>
                    <w:t>/逐日的时序变化分析，提供城市各市县及监测站点空气质量与气象要素的逐小时/逐日的关联分析预报产品。</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24</w:t>
                  </w:r>
                </w:p>
              </w:tc>
              <w:tc>
                <w:tcPr>
                  <w:tcW w:type="dxa" w:w="3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沙尘污染综合分析</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沙尘监测告警</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根据</w:t>
                  </w:r>
                  <w:r>
                    <w:rPr>
                      <w:rFonts w:ascii="仿宋_GB2312" w:hAnsi="仿宋_GB2312" w:cs="仿宋_GB2312" w:eastAsia="仿宋_GB2312"/>
                      <w:sz w:val="24"/>
                    </w:rPr>
                    <w:t>PM10监测及预报数据和判断规则，对超标区县、站点进行沙尘监测告警提示。</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25</w:t>
                  </w:r>
                </w:p>
              </w:tc>
              <w:tc>
                <w:tcPr>
                  <w:tcW w:type="dxa" w:w="365"/>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沙尘实况对比</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提供沙尘实况浓度分布，同时集成中央气象台、韩国气象厅、日本气象厅等外部沙尘监测资料以及沙尘监测资料，以多视窗形式对比沙尘实况，实现同时刻不同来源沙尘监测情况同步查看。</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26</w:t>
                  </w:r>
                </w:p>
              </w:tc>
              <w:tc>
                <w:tcPr>
                  <w:tcW w:type="dxa" w:w="365"/>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沙尘预报分析</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构建以数值模式为基础的沙尘预报模块，实现未来</w:t>
                  </w:r>
                  <w:r>
                    <w:rPr>
                      <w:rFonts w:ascii="仿宋_GB2312" w:hAnsi="仿宋_GB2312" w:cs="仿宋_GB2312" w:eastAsia="仿宋_GB2312"/>
                      <w:sz w:val="24"/>
                    </w:rPr>
                    <w:t>7-10日沙尘预报分析，提供沙尘预报、预警、传输等多维度分析，实现更精准的沙尘过程预测预警与历史沙尘过程综合研判。</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27</w:t>
                  </w:r>
                </w:p>
              </w:tc>
              <w:tc>
                <w:tcPr>
                  <w:tcW w:type="dxa" w:w="365"/>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沙尘预报对比</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提供沙尘预报浓度分布，同时集成中央气象台、韩国气象厅、日本气象厅等外部沙尘预报资料以及</w:t>
                  </w:r>
                  <w:r>
                    <w:rPr>
                      <w:rFonts w:ascii="仿宋_GB2312" w:hAnsi="仿宋_GB2312" w:cs="仿宋_GB2312" w:eastAsia="仿宋_GB2312"/>
                      <w:sz w:val="24"/>
                    </w:rPr>
                    <w:t>CAMx模式沙尘预报资料，以多视窗形式对比沙尘预报，实现同时刻不同来源沙尘预报同步查看。</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28</w:t>
                  </w:r>
                </w:p>
              </w:tc>
              <w:tc>
                <w:tcPr>
                  <w:tcW w:type="dxa" w:w="365"/>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区域沙尘预报</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以空间分布形式提供站点</w:t>
                  </w:r>
                  <w:r>
                    <w:rPr>
                      <w:rFonts w:ascii="仿宋_GB2312" w:hAnsi="仿宋_GB2312" w:cs="仿宋_GB2312" w:eastAsia="仿宋_GB2312"/>
                      <w:sz w:val="24"/>
                    </w:rPr>
                    <w:t>PM10、PM2.5浓度与气象要素的叠加分析，气象要素包括海平面气压、地面风场+大风区、850hPa温度平流、2m相对湿度、降水量等。</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29</w:t>
                  </w:r>
                </w:p>
              </w:tc>
              <w:tc>
                <w:tcPr>
                  <w:tcW w:type="dxa" w:w="365"/>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城市沙尘预报</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提供城市、区县含沙尘的空气质量逐日预报表格，包含六项污染物、</w:t>
                  </w:r>
                  <w:r>
                    <w:rPr>
                      <w:rFonts w:ascii="仿宋_GB2312" w:hAnsi="仿宋_GB2312" w:cs="仿宋_GB2312" w:eastAsia="仿宋_GB2312"/>
                      <w:sz w:val="24"/>
                    </w:rPr>
                    <w:t>AQI、首要污染物、空气质量级别，提供城市、区县含沙尘的AQI、六项污染物逐日、逐小时变化趋势时序图。</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30</w:t>
                  </w:r>
                </w:p>
              </w:tc>
              <w:tc>
                <w:tcPr>
                  <w:tcW w:type="dxa" w:w="3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沙尘数据剔除分析</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沙尘数据剔除规则</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设置沙尘数据剔除规则，沙尘剔除规则与陕西省环境监测中心站的规则保持一致。</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31</w:t>
                  </w:r>
                </w:p>
              </w:tc>
              <w:tc>
                <w:tcPr>
                  <w:tcW w:type="dxa" w:w="365"/>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沙尘监测数据规范</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明确撒谎陈数据收集、处理、存储、质量控制等规范。</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32</w:t>
                  </w:r>
                </w:p>
              </w:tc>
              <w:tc>
                <w:tcPr>
                  <w:tcW w:type="dxa" w:w="365"/>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沙尘监测数据剔除</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提供沙尘数据人工剔除功能，提供剔除沙尘数据功能页面，可以在此页面选择渭南市发生沙尘天气的日期并点击提交。系统将会自动按照国家标准算法，把当天数据在相关数据统计报表中进行剔除并展示。</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33</w:t>
                  </w:r>
                </w:p>
              </w:tc>
              <w:tc>
                <w:tcPr>
                  <w:tcW w:type="dxa" w:w="365"/>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沙尘剔除数据分析</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基于空气质量监测数据及沙尘天判定标准，自动识别城市沙尘天并进行标记，支持手动标记沙尘天，提供任意时段剔除沙尘数据前后的数据查询与展示，支持沙尘天剔除前、后污染物浓度及累计浓度动态计算与分析展示，同时支持剔除沙尘数据后的数据与陕西省环境监测中心站相关平台同步，为城市空气质量评价提供支撑。</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34</w:t>
                  </w:r>
                </w:p>
              </w:tc>
              <w:tc>
                <w:tcPr>
                  <w:tcW w:type="dxa" w:w="365"/>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沙尘影响判定与评价</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根据沙尘数据进行影响时段判定与统计分析。</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35</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差值回算替代分析</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差值回算替代分析</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提供差值回算替代功能，针对不可抗力等其他特殊情况导致的数据异常缺失，可进行差值回算替代，支持查询替代回算的城市</w:t>
                  </w:r>
                  <w:r>
                    <w:rPr>
                      <w:rFonts w:ascii="仿宋_GB2312" w:hAnsi="仿宋_GB2312" w:cs="仿宋_GB2312" w:eastAsia="仿宋_GB2312"/>
                      <w:sz w:val="24"/>
                    </w:rPr>
                    <w:t>/区县具体时间的替代数据列表，同时增加替代回算数据源，支持在数据查询和统计报表中选择替代回算数据源进行统计分析。</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36</w:t>
                  </w:r>
                </w:p>
              </w:tc>
              <w:tc>
                <w:tcPr>
                  <w:tcW w:type="dxa" w:w="3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空气质量高值点分析</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高值热点识别分布</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借助环境监测数据以及污染高值判断规则，智能判断与自动识别污染高值点。</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37</w:t>
                  </w:r>
                </w:p>
              </w:tc>
              <w:tc>
                <w:tcPr>
                  <w:tcW w:type="dxa" w:w="365"/>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高值点位精细化溯源</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通过实时监测数据筛查，快速识别污染物浓度超过限值的监测站点，提供高值站点列表并进行可视化展示，支持按时间、区域、污染物类型多维度筛选，高值限值可自定义配置，通过动态阈值判定、多源数据融合与异常值剔除，确保数据准确性。</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38</w:t>
                  </w:r>
                </w:p>
              </w:tc>
              <w:tc>
                <w:tcPr>
                  <w:tcW w:type="dxa" w:w="3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空气质量达标评估分析</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达标目标管理</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基于城市空气质量考核管理目标，根据需要制定空气质量年度、阶段考核目标，并支持对考核目标进行逐级分解，结合近年月均空气质量实况浓度变化，配置各考核对象在年度、月度、日度等三个时间尺度下空气质量考核指标的考核目标。</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39</w:t>
                  </w:r>
                </w:p>
              </w:tc>
              <w:tc>
                <w:tcPr>
                  <w:tcW w:type="dxa" w:w="365"/>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达标跟踪监控</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以当前时段监测指标的累计浓度为基础，结合历史同比数据，对城市考核可达性进行分析，计算出如需达到考核目标值，剩余时段的控制量。通过监控空气质量状况及动态计算，提供实时达标情况监控。</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40</w:t>
                  </w:r>
                </w:p>
              </w:tc>
              <w:tc>
                <w:tcPr>
                  <w:tcW w:type="dxa" w:w="3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大气环境污染溯源分析</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污染来源贡献分析</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开展周边区域不同地区、不同行业的污染排放源传输来源贡献，对目标城市未来逐日或多日累计的影响程度和影响范围相关分析图表，对目标地区大气一次和二次污染物的贡献进行追踪。</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41</w:t>
                  </w:r>
                </w:p>
              </w:tc>
              <w:tc>
                <w:tcPr>
                  <w:tcW w:type="dxa" w:w="365"/>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精细溯源贡献模拟</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基于排放清单、气象预报数据、</w:t>
                  </w:r>
                  <w:r>
                    <w:rPr>
                      <w:rFonts w:ascii="仿宋_GB2312" w:hAnsi="仿宋_GB2312" w:cs="仿宋_GB2312" w:eastAsia="仿宋_GB2312"/>
                      <w:sz w:val="24"/>
                    </w:rPr>
                    <w:t>FLEXPART溯源模型，建立精细到区县的来源贡献模拟模块，模拟示踪物在大气中的传输、扩散等过程，实现未来3天城市精细化的地区和行业污染物来源贡献解析。</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42</w:t>
                  </w:r>
                </w:p>
              </w:tc>
              <w:tc>
                <w:tcPr>
                  <w:tcW w:type="dxa" w:w="365"/>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气团传输轨迹分析</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利用</w:t>
                  </w:r>
                  <w:r>
                    <w:rPr>
                      <w:rFonts w:ascii="仿宋_GB2312" w:hAnsi="仿宋_GB2312" w:cs="仿宋_GB2312" w:eastAsia="仿宋_GB2312"/>
                      <w:sz w:val="24"/>
                    </w:rPr>
                    <w:t>HYSPLIT结合潜在源贡献函数（PSCF）/浓度权重轨迹（CWT）分析，对空气微团在大气中移动的路径进行聚类分析展示。通过逆推粒子的主要经过区域，分析污染物传输、受影响因素及气团输送特征等。</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43</w:t>
                  </w:r>
                </w:p>
              </w:tc>
              <w:tc>
                <w:tcPr>
                  <w:tcW w:type="dxa" w:w="3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预报业务与效果评估</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城市人工预报</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值班预报员可开展城市未来</w:t>
                  </w:r>
                  <w:r>
                    <w:rPr>
                      <w:rFonts w:ascii="仿宋_GB2312" w:hAnsi="仿宋_GB2312" w:cs="仿宋_GB2312" w:eastAsia="仿宋_GB2312"/>
                      <w:sz w:val="24"/>
                    </w:rPr>
                    <w:t>7-10日空气质量人工预报，包含AQI范围，级别，首要污染物及六项常规污染物浓度范围。</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44</w:t>
                  </w:r>
                </w:p>
              </w:tc>
              <w:tc>
                <w:tcPr>
                  <w:tcW w:type="dxa" w:w="365"/>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人工预报上报省站</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基于建设单位提供的省级平台可上报接口，实现人工预报一键式上报，包含</w:t>
                  </w:r>
                  <w:r>
                    <w:rPr>
                      <w:rFonts w:ascii="仿宋_GB2312" w:hAnsi="仿宋_GB2312" w:cs="仿宋_GB2312" w:eastAsia="仿宋_GB2312"/>
                      <w:sz w:val="24"/>
                    </w:rPr>
                    <w:t>AQI范围，级别，首要污染物及六项常规污染物浓度范围。人工预报界面集成气象数据、预报数据展示并提供会商结果录入。</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45</w:t>
                  </w:r>
                </w:p>
              </w:tc>
              <w:tc>
                <w:tcPr>
                  <w:tcW w:type="dxa" w:w="365"/>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预报日志制作</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利用模式预报，人工预报结果等信息，自动生成预报日志主体内容文字，部分不能自动生成的内容支持值班预报员输入保存。</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46</w:t>
                  </w:r>
                </w:p>
              </w:tc>
              <w:tc>
                <w:tcPr>
                  <w:tcW w:type="dxa" w:w="365"/>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预报排班管理</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提供预报员智能排班日历管理，提供当月值班信息更新修改，支持基于规范模板的排班表一键导入。</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47</w:t>
                  </w:r>
                </w:p>
              </w:tc>
              <w:tc>
                <w:tcPr>
                  <w:tcW w:type="dxa" w:w="365"/>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城市</w:t>
                  </w:r>
                  <w:r>
                    <w:rPr>
                      <w:rFonts w:ascii="仿宋_GB2312" w:hAnsi="仿宋_GB2312" w:cs="仿宋_GB2312" w:eastAsia="仿宋_GB2312"/>
                      <w:sz w:val="24"/>
                    </w:rPr>
                    <w:t>/站点模式预报评估</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基于模式预报城市</w:t>
                  </w:r>
                  <w:r>
                    <w:rPr>
                      <w:rFonts w:ascii="仿宋_GB2312" w:hAnsi="仿宋_GB2312" w:cs="仿宋_GB2312" w:eastAsia="仿宋_GB2312"/>
                      <w:sz w:val="24"/>
                    </w:rPr>
                    <w:t>/站点结果与城市/站点监测实况数据指标对比分析，形成不同时间分辨率下，不同时效的模式预报效果评估与统计。</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48</w:t>
                  </w:r>
                </w:p>
              </w:tc>
              <w:tc>
                <w:tcPr>
                  <w:tcW w:type="dxa" w:w="365"/>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模式预报结果评估</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实现模式预报结果与监测实况结果的对比，统计分析模式预报结果的准确率。模型评估规则采取中国环境监测总站、陕西省环境监测中心提供的规则。</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49</w:t>
                  </w:r>
                </w:p>
              </w:tc>
              <w:tc>
                <w:tcPr>
                  <w:tcW w:type="dxa" w:w="365"/>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污染预报评估</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提供城市、区县任意时段污染天与重污染天预报效果评估，包括预报性能统计评估与逐日时序对比评估。</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50</w:t>
                  </w:r>
                </w:p>
              </w:tc>
              <w:tc>
                <w:tcPr>
                  <w:tcW w:type="dxa" w:w="365"/>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人工预报结果评估</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提供不同预报员，不同预报时效任意时间段的人工订正预报效果评估与统计，便于预报经验总结及偏差分析。</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51</w:t>
                  </w:r>
                </w:p>
              </w:tc>
              <w:tc>
                <w:tcPr>
                  <w:tcW w:type="dxa" w:w="3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AI大模型智能应用</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AI智能问答</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通过大模型相关技术</w:t>
                  </w:r>
                  <w:r>
                    <w:rPr>
                      <w:rFonts w:ascii="仿宋_GB2312" w:hAnsi="仿宋_GB2312" w:cs="仿宋_GB2312" w:eastAsia="仿宋_GB2312"/>
                      <w:sz w:val="24"/>
                    </w:rPr>
                    <w:t>(通义千问或DeepSeek)搭建智能体(Agent)应用于空气质量预报数据分析工作，基于现有预测预报数据，提供AI预报员，通过与AI预报员问答，实现预报数据的调取、查询、比对等数据交互。</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52</w:t>
                  </w:r>
                </w:p>
              </w:tc>
              <w:tc>
                <w:tcPr>
                  <w:tcW w:type="dxa" w:w="365"/>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空气质量分析报告</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建立报告管理模块，实现空气质量分析日报、周报、月报、季报、年报以及污染过程分析报告等不同类型的电子版报告集中管理功能，支持报告上传、在线查看、单报告下载和批量下载等。</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53</w:t>
                  </w:r>
                </w:p>
              </w:tc>
              <w:tc>
                <w:tcPr>
                  <w:tcW w:type="dxa" w:w="365"/>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汇报</w:t>
                  </w:r>
                  <w:r>
                    <w:rPr>
                      <w:rFonts w:ascii="仿宋_GB2312" w:hAnsi="仿宋_GB2312" w:cs="仿宋_GB2312" w:eastAsia="仿宋_GB2312"/>
                      <w:sz w:val="24"/>
                    </w:rPr>
                    <w:t>PPT自动生成</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基于智能模板和数据可视化技术，可一键将空气质量监测数据、预报结果及分析报告转化为专业汇报</w:t>
                  </w:r>
                  <w:r>
                    <w:rPr>
                      <w:rFonts w:ascii="仿宋_GB2312" w:hAnsi="仿宋_GB2312" w:cs="仿宋_GB2312" w:eastAsia="仿宋_GB2312"/>
                      <w:sz w:val="24"/>
                    </w:rPr>
                    <w:t>PPT。</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54</w:t>
                  </w:r>
                </w:p>
              </w:tc>
              <w:tc>
                <w:tcPr>
                  <w:tcW w:type="dxa" w:w="3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环境空气移动应用</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首页</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渭南市空气质量一览，包括空气质量实况和空气质量预报。</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55</w:t>
                  </w:r>
                </w:p>
              </w:tc>
              <w:tc>
                <w:tcPr>
                  <w:tcW w:type="dxa" w:w="365"/>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环境气象地图</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利用移动端空间信息可视化技术，展示空气质量监测点位</w:t>
                  </w:r>
                  <w:r>
                    <w:rPr>
                      <w:rFonts w:ascii="仿宋_GB2312" w:hAnsi="仿宋_GB2312" w:cs="仿宋_GB2312" w:eastAsia="仿宋_GB2312"/>
                      <w:sz w:val="24"/>
                    </w:rPr>
                    <w:t>AQI及六项污染物指标信息及对应的分布状况。</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56</w:t>
                  </w:r>
                </w:p>
              </w:tc>
              <w:tc>
                <w:tcPr>
                  <w:tcW w:type="dxa" w:w="365"/>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污染天气预警</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基于空气质量监测实况信息和预警预报数据推送污染天气预警提示信息，按照相应级别发布预警发布、调整或解除信息。</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57</w:t>
                  </w:r>
                </w:p>
              </w:tc>
              <w:tc>
                <w:tcPr>
                  <w:tcW w:type="dxa" w:w="365"/>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人工预报展示</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提供渭南市人工预报订正结果展示，包含未来</w:t>
                  </w:r>
                  <w:r>
                    <w:rPr>
                      <w:rFonts w:ascii="仿宋_GB2312" w:hAnsi="仿宋_GB2312" w:cs="仿宋_GB2312" w:eastAsia="仿宋_GB2312"/>
                      <w:sz w:val="24"/>
                    </w:rPr>
                    <w:t>7-10日当前城市的人工预报AQI、污染等级、首要污染物信息，以及预报趋势分析文字描述信息。</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58</w:t>
                  </w:r>
                </w:p>
              </w:tc>
              <w:tc>
                <w:tcPr>
                  <w:tcW w:type="dxa" w:w="365"/>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模式预报展示</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提供渭南市模型预报的未来</w:t>
                  </w:r>
                  <w:r>
                    <w:rPr>
                      <w:rFonts w:ascii="仿宋_GB2312" w:hAnsi="仿宋_GB2312" w:cs="仿宋_GB2312" w:eastAsia="仿宋_GB2312"/>
                      <w:sz w:val="24"/>
                    </w:rPr>
                    <w:t>7-10日城市的预报结果展示，包含AQI，污染等级、首要污染物，支持模型选择切换与预报结果的查看。</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59</w:t>
                  </w:r>
                </w:p>
              </w:tc>
              <w:tc>
                <w:tcPr>
                  <w:tcW w:type="dxa" w:w="365"/>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达标目标分析</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根据空气质量日度考核目标，实时自动测算城市、区县、站点的空气质量累积平均水平和剩余控制量，可用于分析当天空气质量达标压力和主要控制方向。</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60</w:t>
                  </w:r>
                </w:p>
              </w:tc>
              <w:tc>
                <w:tcPr>
                  <w:tcW w:type="dxa" w:w="365"/>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空气质量排名</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根据空气质量指标数据（包括</w:t>
                  </w:r>
                  <w:r>
                    <w:rPr>
                      <w:rFonts w:ascii="仿宋_GB2312" w:hAnsi="仿宋_GB2312" w:cs="仿宋_GB2312" w:eastAsia="仿宋_GB2312"/>
                      <w:sz w:val="24"/>
                    </w:rPr>
                    <w:t>AQI、常规污染物浓度、综合指数等），对一段时间内（日、月、年）的城市、区县、站点空气质量进行排名。</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61</w:t>
                  </w:r>
                </w:p>
              </w:tc>
              <w:tc>
                <w:tcPr>
                  <w:tcW w:type="dxa" w:w="365"/>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空气质量日历</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根据空气质量指标日均值绘制月度日历，提供历史任意月份的日历；点击日历上任意一天，显示当天的空气质量数据，包括</w:t>
                  </w:r>
                  <w:r>
                    <w:rPr>
                      <w:rFonts w:ascii="仿宋_GB2312" w:hAnsi="仿宋_GB2312" w:cs="仿宋_GB2312" w:eastAsia="仿宋_GB2312"/>
                      <w:sz w:val="24"/>
                    </w:rPr>
                    <w:t>AQI、常规污染物浓度、首要污染物、空气质量等级。</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62</w:t>
                  </w:r>
                </w:p>
              </w:tc>
              <w:tc>
                <w:tcPr>
                  <w:tcW w:type="dxa" w:w="365"/>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空气质量对比</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根据城市、区县、站点的空气质量数据绘制时序图，城市、区县、站点各绘制一张图，用于对比区域和站点的空气质量时间变化趋势。</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63</w:t>
                  </w:r>
                </w:p>
              </w:tc>
              <w:tc>
                <w:tcPr>
                  <w:tcW w:type="dxa" w:w="365"/>
                  <w:vMerge/>
                  <w:tcBorders>
                    <w:top w:val="none" w:color="000000" w:sz="4"/>
                    <w:left w:val="single" w:color="000000" w:sz="4"/>
                    <w:bottom w:val="single" w:color="000000" w:sz="4"/>
                    <w:right w:val="single" w:color="000000" w:sz="4"/>
                  </w:tcBorders>
                </w:tcP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个人管理中心</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支持对登录账户信息进行管理，包括登录，注册信息编辑管理以及个人信息编辑管理。</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64</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系统管理</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系统管理</w:t>
                  </w:r>
                </w:p>
              </w:tc>
              <w:tc>
                <w:tcPr>
                  <w:tcW w:type="dxa" w:w="16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提供站点管理、用户管理、角色管理、角色授权、系统日志、系统配置等功能。</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80"/>
              <w:jc w:val="both"/>
            </w:pPr>
            <w:r>
              <w:rPr>
                <w:rFonts w:ascii="仿宋_GB2312" w:hAnsi="仿宋_GB2312" w:cs="仿宋_GB2312" w:eastAsia="仿宋_GB2312"/>
                <w:sz w:val="24"/>
              </w:rPr>
              <w:t>3、互联网区资源配置服务</w:t>
            </w:r>
          </w:p>
          <w:p>
            <w:pPr>
              <w:pStyle w:val="null3"/>
              <w:ind w:firstLine="480"/>
              <w:jc w:val="both"/>
            </w:pPr>
            <w:r>
              <w:rPr>
                <w:rFonts w:ascii="仿宋_GB2312" w:hAnsi="仿宋_GB2312" w:cs="仿宋_GB2312" w:eastAsia="仿宋_GB2312"/>
                <w:sz w:val="24"/>
              </w:rPr>
              <w:t>本项目申请在互联网区进行资源部署，通过租赁相关资源建设支撑环境。同时，按照网络安全等级保护</w:t>
            </w:r>
            <w:r>
              <w:rPr>
                <w:rFonts w:ascii="仿宋_GB2312" w:hAnsi="仿宋_GB2312" w:cs="仿宋_GB2312" w:eastAsia="仿宋_GB2312"/>
                <w:sz w:val="24"/>
              </w:rPr>
              <w:t>2.0中第二级要求建设。租赁期：自项目验收合格之日起4年。</w:t>
            </w:r>
          </w:p>
          <w:tbl>
            <w:tblPr>
              <w:tblBorders>
                <w:top w:val="none" w:color="000000" w:sz="4"/>
                <w:left w:val="none" w:color="000000" w:sz="4"/>
                <w:bottom w:val="none" w:color="000000" w:sz="4"/>
                <w:right w:val="none" w:color="000000" w:sz="4"/>
                <w:insideH w:val="none"/>
                <w:insideV w:val="none"/>
              </w:tblBorders>
            </w:tblPr>
            <w:tblGrid>
              <w:gridCol w:w="237"/>
              <w:gridCol w:w="411"/>
              <w:gridCol w:w="1035"/>
              <w:gridCol w:w="434"/>
              <w:gridCol w:w="434"/>
            </w:tblGrid>
            <w:tr>
              <w:tc>
                <w:tcPr>
                  <w:tcW w:type="dxa" w:w="2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序号</w:t>
                  </w:r>
                </w:p>
              </w:tc>
              <w:tc>
                <w:tcPr>
                  <w:tcW w:type="dxa" w:w="4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类型</w:t>
                  </w:r>
                </w:p>
              </w:tc>
              <w:tc>
                <w:tcPr>
                  <w:tcW w:type="dxa" w:w="10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主要参数</w:t>
                  </w:r>
                </w:p>
              </w:tc>
              <w:tc>
                <w:tcPr>
                  <w:tcW w:type="dxa" w:w="4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数量</w:t>
                  </w:r>
                </w:p>
              </w:tc>
              <w:tc>
                <w:tcPr>
                  <w:tcW w:type="dxa" w:w="4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租赁</w:t>
                  </w:r>
                  <w:r>
                    <w:rPr>
                      <w:rFonts w:ascii="仿宋_GB2312" w:hAnsi="仿宋_GB2312" w:cs="仿宋_GB2312" w:eastAsia="仿宋_GB2312"/>
                      <w:sz w:val="24"/>
                    </w:rPr>
                    <w:t>时长（年）</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计算节点服务器</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CPU核心数≥64核；</w:t>
                  </w:r>
                </w:p>
                <w:p>
                  <w:pPr>
                    <w:pStyle w:val="null3"/>
                  </w:pPr>
                  <w:r>
                    <w:rPr>
                      <w:rFonts w:ascii="仿宋_GB2312" w:hAnsi="仿宋_GB2312" w:cs="仿宋_GB2312" w:eastAsia="仿宋_GB2312"/>
                      <w:sz w:val="24"/>
                    </w:rPr>
                    <w:t>主频</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4Ghz；</w:t>
                  </w:r>
                </w:p>
                <w:p>
                  <w:pPr>
                    <w:pStyle w:val="null3"/>
                  </w:pPr>
                  <w:r>
                    <w:rPr>
                      <w:rFonts w:ascii="仿宋_GB2312" w:hAnsi="仿宋_GB2312" w:cs="仿宋_GB2312" w:eastAsia="仿宋_GB2312"/>
                      <w:sz w:val="24"/>
                    </w:rPr>
                    <w:t>运行内存</w:t>
                  </w:r>
                  <w:r>
                    <w:rPr>
                      <w:rFonts w:ascii="仿宋_GB2312" w:hAnsi="仿宋_GB2312" w:cs="仿宋_GB2312" w:eastAsia="仿宋_GB2312"/>
                      <w:sz w:val="24"/>
                    </w:rPr>
                    <w:t>≥128GB；</w:t>
                  </w:r>
                </w:p>
                <w:p>
                  <w:pPr>
                    <w:pStyle w:val="null3"/>
                  </w:pPr>
                  <w:r>
                    <w:rPr>
                      <w:rFonts w:ascii="仿宋_GB2312" w:hAnsi="仿宋_GB2312" w:cs="仿宋_GB2312" w:eastAsia="仿宋_GB2312"/>
                      <w:sz w:val="24"/>
                    </w:rPr>
                    <w:t>系统盘</w:t>
                  </w:r>
                  <w:r>
                    <w:rPr>
                      <w:rFonts w:ascii="仿宋_GB2312" w:hAnsi="仿宋_GB2312" w:cs="仿宋_GB2312" w:eastAsia="仿宋_GB2312"/>
                      <w:sz w:val="24"/>
                    </w:rPr>
                    <w:t>≥256GB；</w:t>
                  </w:r>
                </w:p>
                <w:p>
                  <w:pPr>
                    <w:pStyle w:val="null3"/>
                  </w:pPr>
                  <w:r>
                    <w:rPr>
                      <w:rFonts w:ascii="仿宋_GB2312" w:hAnsi="仿宋_GB2312" w:cs="仿宋_GB2312" w:eastAsia="仿宋_GB2312"/>
                      <w:sz w:val="24"/>
                    </w:rPr>
                    <w:t>带宽</w:t>
                  </w:r>
                  <w:r>
                    <w:rPr>
                      <w:rFonts w:ascii="仿宋_GB2312" w:hAnsi="仿宋_GB2312" w:cs="仿宋_GB2312" w:eastAsia="仿宋_GB2312"/>
                      <w:sz w:val="24"/>
                    </w:rPr>
                    <w:t>≥50M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10台</w:t>
                  </w:r>
                </w:p>
              </w:tc>
              <w:tc>
                <w:tcPr>
                  <w:tcW w:type="dxa" w:w="4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业务应用服务器</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CPU核心数≥32核；</w:t>
                  </w:r>
                </w:p>
                <w:p>
                  <w:pPr>
                    <w:pStyle w:val="null3"/>
                  </w:pPr>
                  <w:r>
                    <w:rPr>
                      <w:rFonts w:ascii="仿宋_GB2312" w:hAnsi="仿宋_GB2312" w:cs="仿宋_GB2312" w:eastAsia="仿宋_GB2312"/>
                      <w:sz w:val="24"/>
                    </w:rPr>
                    <w:t>主频</w:t>
                  </w:r>
                  <w:r>
                    <w:rPr>
                      <w:rFonts w:ascii="仿宋_GB2312" w:hAnsi="仿宋_GB2312" w:cs="仿宋_GB2312" w:eastAsia="仿宋_GB2312"/>
                      <w:sz w:val="24"/>
                    </w:rPr>
                    <w:t>≥2.4Ghz；</w:t>
                  </w:r>
                </w:p>
                <w:p>
                  <w:pPr>
                    <w:pStyle w:val="null3"/>
                  </w:pPr>
                  <w:r>
                    <w:rPr>
                      <w:rFonts w:ascii="仿宋_GB2312" w:hAnsi="仿宋_GB2312" w:cs="仿宋_GB2312" w:eastAsia="仿宋_GB2312"/>
                      <w:sz w:val="24"/>
                    </w:rPr>
                    <w:t>运行内存</w:t>
                  </w:r>
                  <w:r>
                    <w:rPr>
                      <w:rFonts w:ascii="仿宋_GB2312" w:hAnsi="仿宋_GB2312" w:cs="仿宋_GB2312" w:eastAsia="仿宋_GB2312"/>
                      <w:sz w:val="24"/>
                    </w:rPr>
                    <w:t>≥128GB；</w:t>
                  </w:r>
                </w:p>
                <w:p>
                  <w:pPr>
                    <w:pStyle w:val="null3"/>
                  </w:pPr>
                  <w:r>
                    <w:rPr>
                      <w:rFonts w:ascii="仿宋_GB2312" w:hAnsi="仿宋_GB2312" w:cs="仿宋_GB2312" w:eastAsia="仿宋_GB2312"/>
                      <w:sz w:val="24"/>
                    </w:rPr>
                    <w:t>系统盘</w:t>
                  </w:r>
                  <w:r>
                    <w:rPr>
                      <w:rFonts w:ascii="仿宋_GB2312" w:hAnsi="仿宋_GB2312" w:cs="仿宋_GB2312" w:eastAsia="仿宋_GB2312"/>
                      <w:sz w:val="24"/>
                    </w:rPr>
                    <w:t>≥1TB；</w:t>
                  </w:r>
                </w:p>
                <w:p>
                  <w:pPr>
                    <w:pStyle w:val="null3"/>
                  </w:pPr>
                  <w:r>
                    <w:rPr>
                      <w:rFonts w:ascii="仿宋_GB2312" w:hAnsi="仿宋_GB2312" w:cs="仿宋_GB2312" w:eastAsia="仿宋_GB2312"/>
                      <w:sz w:val="24"/>
                    </w:rPr>
                    <w:t>带宽</w:t>
                  </w:r>
                  <w:r>
                    <w:rPr>
                      <w:rFonts w:ascii="仿宋_GB2312" w:hAnsi="仿宋_GB2312" w:cs="仿宋_GB2312" w:eastAsia="仿宋_GB2312"/>
                      <w:sz w:val="24"/>
                    </w:rPr>
                    <w:t>≥50M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1台</w:t>
                  </w:r>
                </w:p>
              </w:tc>
              <w:tc>
                <w:tcPr>
                  <w:tcW w:type="dxa" w:w="434"/>
                  <w:vMerge/>
                  <w:tcBorders>
                    <w:top w:val="none" w:color="000000" w:sz="4"/>
                    <w:left w:val="single" w:color="000000" w:sz="4"/>
                    <w:bottom w:val="single" w:color="000000" w:sz="4"/>
                    <w:right w:val="single" w:color="000000" w:sz="4"/>
                  </w:tcBorders>
                </w:tc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数据库服务器</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CPU核心数≥32核；</w:t>
                  </w:r>
                </w:p>
                <w:p>
                  <w:pPr>
                    <w:pStyle w:val="null3"/>
                  </w:pPr>
                  <w:r>
                    <w:rPr>
                      <w:rFonts w:ascii="仿宋_GB2312" w:hAnsi="仿宋_GB2312" w:cs="仿宋_GB2312" w:eastAsia="仿宋_GB2312"/>
                      <w:sz w:val="24"/>
                    </w:rPr>
                    <w:t>主频</w:t>
                  </w:r>
                  <w:r>
                    <w:rPr>
                      <w:rFonts w:ascii="仿宋_GB2312" w:hAnsi="仿宋_GB2312" w:cs="仿宋_GB2312" w:eastAsia="仿宋_GB2312"/>
                      <w:sz w:val="24"/>
                    </w:rPr>
                    <w:t>≥2.1Ghz；</w:t>
                  </w:r>
                </w:p>
                <w:p>
                  <w:pPr>
                    <w:pStyle w:val="null3"/>
                  </w:pPr>
                  <w:r>
                    <w:rPr>
                      <w:rFonts w:ascii="仿宋_GB2312" w:hAnsi="仿宋_GB2312" w:cs="仿宋_GB2312" w:eastAsia="仿宋_GB2312"/>
                      <w:sz w:val="24"/>
                    </w:rPr>
                    <w:t>运行内存</w:t>
                  </w:r>
                  <w:r>
                    <w:rPr>
                      <w:rFonts w:ascii="仿宋_GB2312" w:hAnsi="仿宋_GB2312" w:cs="仿宋_GB2312" w:eastAsia="仿宋_GB2312"/>
                      <w:sz w:val="24"/>
                    </w:rPr>
                    <w:t>≥64GB；</w:t>
                  </w:r>
                </w:p>
                <w:p>
                  <w:pPr>
                    <w:pStyle w:val="null3"/>
                  </w:pPr>
                  <w:r>
                    <w:rPr>
                      <w:rFonts w:ascii="仿宋_GB2312" w:hAnsi="仿宋_GB2312" w:cs="仿宋_GB2312" w:eastAsia="仿宋_GB2312"/>
                      <w:sz w:val="24"/>
                    </w:rPr>
                    <w:t>系统盘</w:t>
                  </w:r>
                  <w:r>
                    <w:rPr>
                      <w:rFonts w:ascii="仿宋_GB2312" w:hAnsi="仿宋_GB2312" w:cs="仿宋_GB2312" w:eastAsia="仿宋_GB2312"/>
                      <w:sz w:val="24"/>
                    </w:rPr>
                    <w:t>≥2TB；</w:t>
                  </w:r>
                </w:p>
                <w:p>
                  <w:pPr>
                    <w:pStyle w:val="null3"/>
                  </w:pPr>
                  <w:r>
                    <w:rPr>
                      <w:rFonts w:ascii="仿宋_GB2312" w:hAnsi="仿宋_GB2312" w:cs="仿宋_GB2312" w:eastAsia="仿宋_GB2312"/>
                      <w:sz w:val="24"/>
                    </w:rPr>
                    <w:t>带宽</w:t>
                  </w:r>
                  <w:r>
                    <w:rPr>
                      <w:rFonts w:ascii="仿宋_GB2312" w:hAnsi="仿宋_GB2312" w:cs="仿宋_GB2312" w:eastAsia="仿宋_GB2312"/>
                      <w:sz w:val="24"/>
                    </w:rPr>
                    <w:t>≥50M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1台</w:t>
                  </w:r>
                </w:p>
              </w:tc>
              <w:tc>
                <w:tcPr>
                  <w:tcW w:type="dxa" w:w="434"/>
                  <w:vMerge/>
                  <w:tcBorders>
                    <w:top w:val="none" w:color="000000" w:sz="4"/>
                    <w:left w:val="single" w:color="000000" w:sz="4"/>
                    <w:bottom w:val="single" w:color="000000" w:sz="4"/>
                    <w:right w:val="single" w:color="000000" w:sz="4"/>
                  </w:tcBorders>
                </w:tc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共享存储</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初始存储大小</w:t>
                  </w:r>
                  <w:r>
                    <w:rPr>
                      <w:rFonts w:ascii="仿宋_GB2312" w:hAnsi="仿宋_GB2312" w:cs="仿宋_GB2312" w:eastAsia="仿宋_GB2312"/>
                      <w:sz w:val="24"/>
                    </w:rPr>
                    <w:t>≥50TB，每年按需在线扩展50TB</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1项</w:t>
                  </w:r>
                </w:p>
              </w:tc>
              <w:tc>
                <w:tcPr>
                  <w:tcW w:type="dxa" w:w="434"/>
                  <w:vMerge/>
                  <w:tcBorders>
                    <w:top w:val="none" w:color="000000" w:sz="4"/>
                    <w:left w:val="single" w:color="000000" w:sz="4"/>
                    <w:bottom w:val="single" w:color="000000" w:sz="4"/>
                    <w:right w:val="single" w:color="000000" w:sz="4"/>
                  </w:tcBorders>
                </w:tc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操作系统</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符合国家信创产品名录，支持国产</w:t>
                  </w:r>
                  <w:r>
                    <w:rPr>
                      <w:rFonts w:ascii="仿宋_GB2312" w:hAnsi="仿宋_GB2312" w:cs="仿宋_GB2312" w:eastAsia="仿宋_GB2312"/>
                      <w:sz w:val="24"/>
                    </w:rPr>
                    <w:t>CPU架构，兼容主流国产数据库及中间件，支持容器化部署（如Docker、Kubernetes），记录用户操作、特权命令，审计日志防篡改，符合GB/T 20272-2019《信息安全技术操作系统安全技术要求》</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8套</w:t>
                  </w:r>
                </w:p>
              </w:tc>
              <w:tc>
                <w:tcPr>
                  <w:tcW w:type="dxa" w:w="43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w:t>
                  </w: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数据库</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支持国产</w:t>
                  </w:r>
                  <w:r>
                    <w:rPr>
                      <w:rFonts w:ascii="仿宋_GB2312" w:hAnsi="仿宋_GB2312" w:cs="仿宋_GB2312" w:eastAsia="仿宋_GB2312"/>
                      <w:sz w:val="24"/>
                    </w:rPr>
                    <w:t>CPU及操作系统，支持集群架构和多种备份方式，支持多种数据类型包括但不限于字符类型、数值类型、二进制类型、大对象类型等；支持非关系数据的操作，包括但不限于XML类型、JSON类型、CSV类型、TXT类型、空间类型（地理信息GIS数据类型）</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1套</w:t>
                  </w:r>
                </w:p>
              </w:tc>
              <w:tc>
                <w:tcPr>
                  <w:tcW w:type="dxa" w:w="434"/>
                  <w:vMerge/>
                  <w:tcBorders>
                    <w:top w:val="none" w:color="000000" w:sz="4"/>
                    <w:left w:val="single" w:color="000000" w:sz="4"/>
                    <w:bottom w:val="single" w:color="000000" w:sz="4"/>
                    <w:right w:val="single" w:color="000000" w:sz="4"/>
                  </w:tcBorders>
                </w:tc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7</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气象数据</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包含覆盖目标区域（渭南市及周边城市）的气温、气压、风速、风向、相对湿度、降雨量等气象参数以及集成中央气象台的降水量、雷达图、能见度等实况天气图、遥感影像等</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1套</w:t>
                  </w:r>
                </w:p>
              </w:tc>
              <w:tc>
                <w:tcPr>
                  <w:tcW w:type="dxa" w:w="434"/>
                  <w:vMerge/>
                  <w:tcBorders>
                    <w:top w:val="none" w:color="000000" w:sz="4"/>
                    <w:left w:val="single" w:color="000000" w:sz="4"/>
                    <w:bottom w:val="single" w:color="000000" w:sz="4"/>
                    <w:right w:val="single" w:color="000000" w:sz="4"/>
                  </w:tcBorders>
                </w:tcPr>
                <w:p/>
              </w:tc>
            </w:tr>
            <w:tr>
              <w:tc>
                <w:tcPr>
                  <w:tcW w:type="dxa" w:w="2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w:t>
                  </w:r>
                </w:p>
              </w:tc>
              <w:tc>
                <w:tcPr>
                  <w:tcW w:type="dxa" w:w="4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GIS</w:t>
                  </w:r>
                </w:p>
              </w:tc>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包含目标区域（渭南市及周边城市）的行政区划，监测点位等空间地理信息</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1套</w:t>
                  </w:r>
                </w:p>
              </w:tc>
              <w:tc>
                <w:tcPr>
                  <w:tcW w:type="dxa" w:w="434"/>
                  <w:vMerge/>
                  <w:tcBorders>
                    <w:top w:val="none" w:color="000000" w:sz="4"/>
                    <w:left w:val="single" w:color="000000" w:sz="4"/>
                    <w:bottom w:val="single" w:color="000000" w:sz="4"/>
                    <w:right w:val="single" w:color="000000" w:sz="4"/>
                  </w:tcBorders>
                </w:tcP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80"/>
              <w:jc w:val="both"/>
            </w:pPr>
            <w:r>
              <w:rPr>
                <w:rFonts w:ascii="仿宋_GB2312" w:hAnsi="仿宋_GB2312" w:cs="仿宋_GB2312" w:eastAsia="仿宋_GB2312"/>
                <w:sz w:val="24"/>
              </w:rPr>
              <w:t>4、驻场人员服务</w:t>
            </w:r>
          </w:p>
          <w:p>
            <w:pPr>
              <w:pStyle w:val="null3"/>
              <w:ind w:firstLine="480"/>
              <w:jc w:val="both"/>
            </w:pPr>
            <w:r>
              <w:rPr>
                <w:rFonts w:ascii="仿宋_GB2312" w:hAnsi="仿宋_GB2312" w:cs="仿宋_GB2312" w:eastAsia="仿宋_GB2312"/>
                <w:sz w:val="24"/>
              </w:rPr>
              <w:t>为了更好地支撑本地空气质量预报业务工作，自项目验收之日起，基于本项目建设成果平台提供为期</w:t>
            </w:r>
            <w:r>
              <w:rPr>
                <w:rFonts w:ascii="仿宋_GB2312" w:hAnsi="仿宋_GB2312" w:cs="仿宋_GB2312" w:eastAsia="仿宋_GB2312"/>
                <w:sz w:val="24"/>
              </w:rPr>
              <w:t>4年的2人驻场运维服务，提供专业的空气质量预报业务支撑服务，协助用户开展空气质量预报业务工作。</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满足项目实施及3.2.2服务要求中的相关要求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见3.2.2服务要求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（1）在运维期内，提供平台运维服务、驻场运维服务，具体如下： ①平台运维服务：业务功能更新、在线技术支持、模式运行计算巡检、数据汇聚处理巡检、业务平台运行检查、运维故障问题处理、数据检查维护、平台安全维护、平台远程启停、重装迁移、应急处理、重点保障、运维报告编制等； ②驻场运维服务：驻场技术咨询、业务意见收集反馈、日常预报工作支撑服务、重点时段预报支撑服务等。 （2）培训服务：由相关技术人员对建设、相关工作人员开展系统使用、管理培训，帮助工作人员快速掌握各系统，尤其是应用系统的使用方法。</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自合同签订之日起7个月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渭南市辖区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（1）达到国家及行业验收合格标准。 （2）项目严格依据国家及行业相关规范标准、采购人要求及项目实施方案进行建设。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合同签订后支付平台建设费的40%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32.60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建设完成并经采购人验收合格，供应商向采购人开具正规发票后，采购人支付剩余60%平台建设费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48.92</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平台运维及驻场人员费用逐年结算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4.62</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平台运维及驻场人员费用逐年结算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4.62</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平台运维及驻场人员费用逐年结算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4.62</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平台运维及驻场人员费用逐年结算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4.62</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（1）合同双方必须遵守本合同并执行合同中的各项规定，保证本合同的正常履行。 （2）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 （3）采购人因未及时向供应商提供项目启动所需资料、协调地方关系造成服务期延误，每延误1日则本合同服务期限延长1日，以此类推。 （4）因供应商原因造成服务期延误（自然灾害等不可抗力除外），采购人有权从未付款项中按每日3‰合同价款扣除违约金，此违约以30日为限。 （5）双方在执行合同中所发生的一切争议，应通过协商解决。如协商不成，可向采购人所在地法院起诉。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（1）其他商务要求：①运维期：自项目验收合格之日起4年。 ②响应要求：在运维期内，提供7*24小时多形式在线技术支持，收到故障通知后，1小时应急响应，12小时内解决故障。 （2）付款方式：①合同签订后支付平台建设费的40%；建设完成并经采购人验收合格，供应商向采购人开具正规发票后，采购人支付剩余60%平台建设费。②平台运维及驻场人员费用逐年结算。 （3）本项目费用由：平台建设费、平台运维及驻场人员费组成；其中：①平台运维及驻场人员费不可竞争，为固定费用，逐年支付；②平台建设费自主报价。 （4）项目严格依据国家及行业相关规范标准、采购人要求及项目实施方案进行建设。 （5）由项目验收小组对项目进行验收；验收完成后编制验收报告并签署意见，完成项目建设成果的交付。项目验收完成之日作为运维期开始之日。 验收内容：如实施过程文档、用户培训效果、软件运行效果、项目管理等方面进行审查， 同时需要交付源代码、第三方软件测评报告等。 （6）验收标准：按招标文件、投标文件及澄清函、项目检查情况等综合指标进行验收。各项指标均应符合验收标准及要求。 （7）根据《政府采购法实施条例》释义，银行、保险、石油石化、电力、电信等有行业特殊情况的，允许法人的分支机构参加政府采购活动。 （8）中标（成交）供应商在中标（成交）结果公告发布后3个工作日内提供叁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须提供合法有效，具有独立承担民事责任能力的证明资料</w:t>
            </w:r>
          </w:p>
        </w:tc>
        <w:tc>
          <w:tcPr>
            <w:tcW w:type="dxa" w:w="1661"/>
          </w:tcPr>
          <w:p>
            <w:pPr>
              <w:pStyle w:val="null3"/>
            </w:pPr>
            <w:r>
              <w:rPr>
                <w:rFonts w:ascii="仿宋_GB2312" w:hAnsi="仿宋_GB2312" w:cs="仿宋_GB2312" w:eastAsia="仿宋_GB2312"/>
              </w:rPr>
              <w:t>政府采购二十二条</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开标时间不足一年的可提供成立后任意时段的资产负债表）或投标文件递交截止时间前六个月内其基本账户银行出具的资信证明（附基本账户证明）或政府采购信用担保机构出具的投标担保函； 税收缴纳证明：提供投标文件递交截止时间前一年内任意一个月的缴费凭据；依法免税的应提供相关文件证明； 社会保障资金缴纳证明：提供投标文件递交截止时间前一年内任意一个月的社保缴费凭据或社保机构开具的社会保险参保缴费情况证明；依法不需要缴纳社会保障资金的供应商应提供相关文件证明；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招标文件格式要求出具承诺函，中标供应商的承诺函同中标结果一并公示。</w:t>
            </w:r>
          </w:p>
        </w:tc>
        <w:tc>
          <w:tcPr>
            <w:tcW w:type="dxa" w:w="1661"/>
          </w:tcPr>
          <w:p>
            <w:pPr>
              <w:pStyle w:val="null3"/>
            </w:pPr>
            <w:r>
              <w:rPr>
                <w:rFonts w:ascii="仿宋_GB2312" w:hAnsi="仿宋_GB2312" w:cs="仿宋_GB2312" w:eastAsia="仿宋_GB2312"/>
              </w:rPr>
              <w:t>政府采购二十二条</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具有履行合同的说明或承诺</w:t>
            </w:r>
          </w:p>
        </w:tc>
        <w:tc>
          <w:tcPr>
            <w:tcW w:type="dxa" w:w="3322"/>
          </w:tcPr>
          <w:p>
            <w:pPr>
              <w:pStyle w:val="null3"/>
            </w:pPr>
            <w:r>
              <w:rPr>
                <w:rFonts w:ascii="仿宋_GB2312" w:hAnsi="仿宋_GB2312" w:cs="仿宋_GB2312" w:eastAsia="仿宋_GB2312"/>
              </w:rPr>
              <w:t>供应商具有履行合同所必需的设备和专业技术能力的说明或承诺（格式自拟）</w:t>
            </w:r>
          </w:p>
        </w:tc>
        <w:tc>
          <w:tcPr>
            <w:tcW w:type="dxa" w:w="1661"/>
          </w:tcPr>
          <w:p>
            <w:pPr>
              <w:pStyle w:val="null3"/>
            </w:pPr>
            <w:r>
              <w:rPr>
                <w:rFonts w:ascii="仿宋_GB2312" w:hAnsi="仿宋_GB2312" w:cs="仿宋_GB2312" w:eastAsia="仿宋_GB2312"/>
              </w:rPr>
              <w:t>政府采购二十二条</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参加政府采购活动前3年内在经营活动中无重大违法记录的书面声明（格式自拟）</w:t>
            </w:r>
          </w:p>
        </w:tc>
        <w:tc>
          <w:tcPr>
            <w:tcW w:type="dxa" w:w="1661"/>
          </w:tcPr>
          <w:p>
            <w:pPr>
              <w:pStyle w:val="null3"/>
            </w:pPr>
            <w:r>
              <w:rPr>
                <w:rFonts w:ascii="仿宋_GB2312" w:hAnsi="仿宋_GB2312" w:cs="仿宋_GB2312" w:eastAsia="仿宋_GB2312"/>
              </w:rPr>
              <w:t>政府采购二十二条</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法定代表人身份证明书/法定代表人授权书</w:t>
            </w:r>
          </w:p>
        </w:tc>
        <w:tc>
          <w:tcPr>
            <w:tcW w:type="dxa" w:w="3322"/>
          </w:tcPr>
          <w:p>
            <w:pPr>
              <w:pStyle w:val="null3"/>
            </w:pPr>
            <w:r>
              <w:rPr>
                <w:rFonts w:ascii="仿宋_GB2312" w:hAnsi="仿宋_GB2312" w:cs="仿宋_GB2312" w:eastAsia="仿宋_GB2312"/>
              </w:rPr>
              <w:t>法定代表人参与投标时需提供法定代表人身份证明书；被授权人参与投标时需提供法定代表人授权委托书；</w:t>
            </w:r>
          </w:p>
        </w:tc>
        <w:tc>
          <w:tcPr>
            <w:tcW w:type="dxa" w:w="1661"/>
          </w:tcPr>
          <w:p>
            <w:pPr>
              <w:pStyle w:val="null3"/>
            </w:pPr>
            <w:r>
              <w:rPr>
                <w:rFonts w:ascii="仿宋_GB2312" w:hAnsi="仿宋_GB2312" w:cs="仿宋_GB2312" w:eastAsia="仿宋_GB2312"/>
              </w:rPr>
              <w:t>特定资格要求</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投标保证金交纳凭证</w:t>
            </w:r>
          </w:p>
        </w:tc>
        <w:tc>
          <w:tcPr>
            <w:tcW w:type="dxa" w:w="3322"/>
          </w:tcPr>
          <w:p>
            <w:pPr>
              <w:pStyle w:val="null3"/>
            </w:pPr>
            <w:r>
              <w:rPr>
                <w:rFonts w:ascii="仿宋_GB2312" w:hAnsi="仿宋_GB2312" w:cs="仿宋_GB2312" w:eastAsia="仿宋_GB2312"/>
              </w:rPr>
              <w:t>投标保证金交纳凭证；</w:t>
            </w:r>
          </w:p>
        </w:tc>
        <w:tc>
          <w:tcPr>
            <w:tcW w:type="dxa" w:w="1661"/>
          </w:tcPr>
          <w:p>
            <w:pPr>
              <w:pStyle w:val="null3"/>
            </w:pPr>
            <w:r>
              <w:rPr>
                <w:rFonts w:ascii="仿宋_GB2312" w:hAnsi="仿宋_GB2312" w:cs="仿宋_GB2312" w:eastAsia="仿宋_GB2312"/>
              </w:rPr>
              <w:t>特定资格要求</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特定资格要求</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投标文件签章</w:t>
            </w:r>
          </w:p>
        </w:tc>
        <w:tc>
          <w:tcPr>
            <w:tcW w:type="dxa" w:w="3322"/>
          </w:tcPr>
          <w:p>
            <w:pPr>
              <w:pStyle w:val="null3"/>
            </w:pPr>
            <w:r>
              <w:rPr>
                <w:rFonts w:ascii="仿宋_GB2312" w:hAnsi="仿宋_GB2312" w:cs="仿宋_GB2312" w:eastAsia="仿宋_GB2312"/>
              </w:rPr>
              <w:t>投标文件按采购文件要求进行签章</w:t>
            </w:r>
          </w:p>
        </w:tc>
        <w:tc>
          <w:tcPr>
            <w:tcW w:type="dxa" w:w="1661"/>
          </w:tcPr>
          <w:p>
            <w:pPr>
              <w:pStyle w:val="null3"/>
            </w:pPr>
            <w:r>
              <w:rPr>
                <w:rFonts w:ascii="仿宋_GB2312" w:hAnsi="仿宋_GB2312" w:cs="仿宋_GB2312" w:eastAsia="仿宋_GB2312"/>
              </w:rPr>
              <w:t>开标一览表 服务内容及服务邀请应答表 分项报价表 中小企业声明函 商务应答表 特定资格要求 政府采购供应商拒绝政府采购领域商业贿赂承诺书 投标函 残疾人福利性单位声明函 政府采购二十二条 服务方案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投标报价没有超出最高限价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满足采购文件规定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满足采购文件规定</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运维期</w:t>
            </w:r>
          </w:p>
        </w:tc>
        <w:tc>
          <w:tcPr>
            <w:tcW w:type="dxa" w:w="3322"/>
          </w:tcPr>
          <w:p>
            <w:pPr>
              <w:pStyle w:val="null3"/>
            </w:pPr>
            <w:r>
              <w:rPr>
                <w:rFonts w:ascii="仿宋_GB2312" w:hAnsi="仿宋_GB2312" w:cs="仿宋_GB2312" w:eastAsia="仿宋_GB2312"/>
              </w:rPr>
              <w:t>满足采购文件规定</w:t>
            </w:r>
          </w:p>
        </w:tc>
        <w:tc>
          <w:tcPr>
            <w:tcW w:type="dxa" w:w="1661"/>
          </w:tcPr>
          <w:p>
            <w:pPr>
              <w:pStyle w:val="null3"/>
            </w:pPr>
            <w:r>
              <w:rPr>
                <w:rFonts w:ascii="仿宋_GB2312" w:hAnsi="仿宋_GB2312" w:cs="仿宋_GB2312" w:eastAsia="仿宋_GB2312"/>
              </w:rPr>
              <w:t>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评审内容： 总体方案包含： ①项目需求理解； ②各业务模块系统建设分析； ③系统保障部署方案； ④进度计划及组织保障措施。 评审标准： 1.完整性：实施方案须全面，思路清晰、分析透彻，内容完整、方案科学、合理； 2.可实施性：切合本项目实际情况，步骤明确、可操作性强； 3.针对性：总体方案能够紧扣项目实际情况，专业性强、内容科学、合理。 赋分标准（满分12分）：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系统保障措施</w:t>
            </w:r>
          </w:p>
        </w:tc>
        <w:tc>
          <w:tcPr>
            <w:tcW w:type="dxa" w:w="2492"/>
          </w:tcPr>
          <w:p>
            <w:pPr>
              <w:pStyle w:val="null3"/>
            </w:pPr>
            <w:r>
              <w:rPr>
                <w:rFonts w:ascii="仿宋_GB2312" w:hAnsi="仿宋_GB2312" w:cs="仿宋_GB2312" w:eastAsia="仿宋_GB2312"/>
              </w:rPr>
              <w:t>评审内容： 系统保障措施包含： ①系统架构的先进性保障措施； ②系统平台功能层次清楚，结构合理保障措施； ③系统安全性保障措施； ④系统可扩展性保障措施。 评审标准： 1.完整性：保障措施须全面，完整、科学、合理； 2.可实施性：切合本项目实际情况，步骤明确、可操作性强； 3.针对性：保障措施能够紧扣项目实际情况，专业性强、内容科学、合理。 赋分标准（满分12分）：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运维方案</w:t>
            </w:r>
          </w:p>
        </w:tc>
        <w:tc>
          <w:tcPr>
            <w:tcW w:type="dxa" w:w="2492"/>
          </w:tcPr>
          <w:p>
            <w:pPr>
              <w:pStyle w:val="null3"/>
            </w:pPr>
            <w:r>
              <w:rPr>
                <w:rFonts w:ascii="仿宋_GB2312" w:hAnsi="仿宋_GB2312" w:cs="仿宋_GB2312" w:eastAsia="仿宋_GB2312"/>
              </w:rPr>
              <w:t>评审内容： 运维方案包含： ①系统定期升级、优化方案； ②系统定期维护方案； ③运维保障措施； ④运维服务人员安排。 评审标准： 1.完整性：方案须全面，完整、科学、合理； 2.可实施性：切合本项目实际情况，步骤明确、可操作性强； 3.针对性：运维方案能够紧扣项目实际情况，专业性强、内容科学、合理。 赋分标准（满分12分）：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 质量保证措施包含： ①服务质量保障体系； ②系统安装、调试质量保证措施； ③确保系统使用可靠、稳定的质量保障措施。 评审标准： 1.完整性：措施须全面，完整、科学、合理； 2.可实施性：切合本项目实际情况，步骤明确、可操作性强； 3.针对性：能够紧扣项目实际情况，专业性强、内容科学、合理。 赋分标准（满分9分）：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评审内容： 投标人针对本项目编制保密措施。 评审标准： 1.完整性：措施须全面，完整、科学、合理； 2.可实施性：切合本项目实际情况，步骤明确、可操作性强； 3.针对性：能够紧扣项目实际情况，专业性强、内容科学、合理。 赋分标准（满分3分）： ①评审内容完全满足评审标准得3分； ②评审内容若存在方案不明确、不合理、不完整、针对性不强等方面，扣1.5分； ③评审内容不提供或完全背离评审标准得0分。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 售后服务包含： ①售后服务机构情况及内容； ②售后服务人员安排。 评审标准： 1.完整性：方案须全面，完整、科学、合理； 2.可实施性：切合本项目实际情况，步骤明确、可操作性强； 3.针对性：能够紧扣项目实际情况，专业性强、内容科学、合理。 赋分标准（满分6分）：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 培训方案包括： ①培训人员及方式； ②培训组织方案。 评审标准： 1.完整性：方案须全面，完整、科学、合理； 2.可实施性：切合本项目实际情况，步骤明确、可操作性强； 3.针对性：能够紧扣项目实际情况，专业性强、内容科学、合理。 赋分标准（满分6分）： ①每一项评审内容完全满足评审标准得3分； ②每一项评审内容若存在方案不明确、不合理、不完整、针对性不强等方面，扣1.5分；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经过有效性和符合性审核合格的投标人，商务要求每优于招标文件要求一项得1分，最高得3分。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投标人具有近三年（2022年至今）的类似业绩每个计1分，最多得4分（提供合同扫描件，以合同签订时间为准）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项目组成员中，每具有一个相关专业中级职称得1分，每具有一个相关专业高级职称得2分，本项最高得6分。 注：提供相关证明资料，否则不得分。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其他人员</w:t>
            </w:r>
          </w:p>
        </w:tc>
        <w:tc>
          <w:tcPr>
            <w:tcW w:type="dxa" w:w="2492"/>
          </w:tcPr>
          <w:p>
            <w:pPr>
              <w:pStyle w:val="null3"/>
            </w:pPr>
            <w:r>
              <w:rPr>
                <w:rFonts w:ascii="仿宋_GB2312" w:hAnsi="仿宋_GB2312" w:cs="仿宋_GB2312" w:eastAsia="仿宋_GB2312"/>
              </w:rPr>
              <w:t>其他人员（驻场人员除外）分工明确、岗位安排合理，有利于项目的实施，每增加一个人得1分，最高得7分。 注：提供相关证明资料，否则不得分。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评标基准价的确定：经评标委员会对各投标人符合性审查合格后，最低投标价为评标基准价，得20分。 根据下列公式计算出各投标人的报价得分： 投标报价得分=（评标基准价/有效投标报价）×20%×100。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分项报价表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详见附件：政府采购二十二条</w:t>
      </w:r>
    </w:p>
    <w:p>
      <w:pPr>
        <w:pStyle w:val="null3"/>
        <w:ind w:firstLine="960"/>
      </w:pPr>
      <w:r>
        <w:rPr>
          <w:rFonts w:ascii="仿宋_GB2312" w:hAnsi="仿宋_GB2312" w:cs="仿宋_GB2312" w:eastAsia="仿宋_GB2312"/>
        </w:rPr>
        <w:t>详见附件：特定资格要求</w:t>
      </w:r>
    </w:p>
    <w:p>
      <w:pPr>
        <w:pStyle w:val="null3"/>
        <w:ind w:firstLine="960"/>
      </w:pPr>
      <w:r>
        <w:rPr>
          <w:rFonts w:ascii="仿宋_GB2312" w:hAnsi="仿宋_GB2312" w:cs="仿宋_GB2312" w:eastAsia="仿宋_GB2312"/>
        </w:rPr>
        <w:t>详见附件：政府采购供应商拒绝政府采购领域商业贿赂承诺书</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详见附件：8.合同文本.docx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