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版本号：ZCSP-渭南市-2025-00517-ZK25(CG)0100920250714002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渭南市国土变更调查市级核查汇总项目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ZCSP-渭南市-2025-00517-ZK25(CG)01009</w:t>
      </w:r>
      <w:r>
        <w:br/>
      </w:r>
      <w:r>
        <w:br/>
      </w:r>
      <w:r>
        <w:br/>
      </w:r>
    </w:p>
    <w:p>
      <w:pPr>
        <w:pStyle w:val="null3"/>
        <w:jc w:val="center"/>
        <w:outlineLvl w:val="2"/>
      </w:pPr>
      <w:r>
        <w:rPr>
          <w:rFonts w:ascii="仿宋_GB2312" w:hAnsi="仿宋_GB2312" w:cs="仿宋_GB2312" w:eastAsia="仿宋_GB2312"/>
          <w:sz w:val="28"/>
          <w:b/>
        </w:rPr>
        <w:t>渭南市自然资源和规划局</w:t>
      </w:r>
    </w:p>
    <w:p>
      <w:pPr>
        <w:pStyle w:val="null3"/>
        <w:jc w:val="center"/>
        <w:outlineLvl w:val="2"/>
      </w:pPr>
      <w:r>
        <w:rPr>
          <w:rFonts w:ascii="仿宋_GB2312" w:hAnsi="仿宋_GB2312" w:cs="仿宋_GB2312" w:eastAsia="仿宋_GB2312"/>
          <w:sz w:val="28"/>
          <w:b/>
        </w:rPr>
        <w:t>正凯建设项目管理有限公司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正凯建设项目管理有限公司</w:t>
      </w:r>
      <w:r>
        <w:rPr>
          <w:rFonts w:ascii="仿宋_GB2312" w:hAnsi="仿宋_GB2312" w:cs="仿宋_GB2312" w:eastAsia="仿宋_GB2312"/>
        </w:rPr>
        <w:t>（以下简称“代理机构”）受</w:t>
      </w:r>
      <w:r>
        <w:rPr>
          <w:rFonts w:ascii="仿宋_GB2312" w:hAnsi="仿宋_GB2312" w:cs="仿宋_GB2312" w:eastAsia="仿宋_GB2312"/>
        </w:rPr>
        <w:t>渭南市自然资源和规划局</w:t>
      </w:r>
      <w:r>
        <w:rPr>
          <w:rFonts w:ascii="仿宋_GB2312" w:hAnsi="仿宋_GB2312" w:cs="仿宋_GB2312" w:eastAsia="仿宋_GB2312"/>
        </w:rPr>
        <w:t>委托，拟对</w:t>
      </w:r>
      <w:r>
        <w:rPr>
          <w:rFonts w:ascii="仿宋_GB2312" w:hAnsi="仿宋_GB2312" w:cs="仿宋_GB2312" w:eastAsia="仿宋_GB2312"/>
        </w:rPr>
        <w:t>渭南市国土变更调查市级核查汇总项目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ZCSP-渭南市-2025-00517-ZK25(CG)01009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渭南市国土变更调查市级核查汇总项目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自然资源部办公厅关于开展2024年度全国国土变更调查工作的通知》（自然资办发〔2024〕44号）和《陕西省自然资源厅关于做好2024年度国土变更调查工作的通知》（陕自然资发〔2024〕1502号）要求，在各县市区提交年度国土变更调查、耕地资源质量分类更新监测以及日常变更调查监测初步成果的基础上，及时开展市级核查、汇总等工作。同时，按部、省、市级方案与通知要求，开展汇总等工作，提交相关成果资料，全面掌握全市国土变更调查、耕地资源质量分类更新监测、日常变更调查监测地类、面积、属性及相关图层属性信息的变化情况。</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采购包1（渭南市国土变更调查市级核查汇总项目）：属于专门面向中小企业采购。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1、供应商基本情况：供应商须具备独立承担民事责任能力的法人或其他组织，并出具合法有效的营业执照（含2024年年度报告）等相关证明</w:t>
      </w:r>
    </w:p>
    <w:p>
      <w:pPr>
        <w:pStyle w:val="null3"/>
      </w:pPr>
      <w:r>
        <w:rPr>
          <w:rFonts w:ascii="仿宋_GB2312" w:hAnsi="仿宋_GB2312" w:cs="仿宋_GB2312" w:eastAsia="仿宋_GB2312"/>
        </w:rPr>
        <w:t>2、法定代表人身份证明或 法定代表人授权委托书：法定代表人参加的，须提供法定代表人身份证复印件并出示身份证原件；法定代表人授权他人参加的，须提供法定代表人授权委托书原件及法定代表人身份证复印件，并出示被授权代表的身份证原件及复印件和被授权代表近三个月养老保险缴纳证明</w:t>
      </w:r>
    </w:p>
    <w:p>
      <w:pPr>
        <w:pStyle w:val="null3"/>
      </w:pPr>
      <w:r>
        <w:rPr>
          <w:rFonts w:ascii="仿宋_GB2312" w:hAnsi="仿宋_GB2312" w:cs="仿宋_GB2312" w:eastAsia="仿宋_GB2312"/>
        </w:rPr>
        <w:t>3、供应商资质：供应商须具有有效的测绘乙级及以上资质，合法有效</w:t>
      </w:r>
    </w:p>
    <w:p>
      <w:pPr>
        <w:pStyle w:val="null3"/>
      </w:pPr>
      <w:r>
        <w:rPr>
          <w:rFonts w:ascii="仿宋_GB2312" w:hAnsi="仿宋_GB2312" w:cs="仿宋_GB2312" w:eastAsia="仿宋_GB2312"/>
        </w:rPr>
        <w:t>4、项目负责人：项目负责人须具有测绘或地理信息类相关专业中级及以上职称</w:t>
      </w:r>
    </w:p>
    <w:p>
      <w:pPr>
        <w:pStyle w:val="null3"/>
      </w:pPr>
      <w:r>
        <w:rPr>
          <w:rFonts w:ascii="仿宋_GB2312" w:hAnsi="仿宋_GB2312" w:cs="仿宋_GB2312" w:eastAsia="仿宋_GB2312"/>
        </w:rPr>
        <w:t>5、财务状况证明：提供2024年经会计师事务所或审计机构审计的财务会计报告，包括财务审计报告、资产负债表、现金流量表、利润表、所有者权益表和财务情况说明书或供应商基本存款账户开户银行出具开标日期前六个月内资信证明及基本存款账户开户许可证（基本账户信息表）。（若成立时间至提交响应文件截止时间不足一年的可提供成立后财务报表，包含资产负债表、现金流量表、利润表、所有者权益表）</w:t>
      </w:r>
    </w:p>
    <w:p>
      <w:pPr>
        <w:pStyle w:val="null3"/>
      </w:pPr>
      <w:r>
        <w:rPr>
          <w:rFonts w:ascii="仿宋_GB2312" w:hAnsi="仿宋_GB2312" w:cs="仿宋_GB2312" w:eastAsia="仿宋_GB2312"/>
        </w:rPr>
        <w:t>6、税收缴纳证明：2024年7月至今已缴纳的连续三个月纳税证明或完税证明，依法免税的单位应提供相关证明材料</w:t>
      </w:r>
    </w:p>
    <w:p>
      <w:pPr>
        <w:pStyle w:val="null3"/>
      </w:pPr>
      <w:r>
        <w:rPr>
          <w:rFonts w:ascii="仿宋_GB2312" w:hAnsi="仿宋_GB2312" w:cs="仿宋_GB2312" w:eastAsia="仿宋_GB2312"/>
        </w:rPr>
        <w:t>7、社会保障资金缴纳证明：2024年7月至今已缴纳的连续三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8、没有重大违法记录的书面声明：供应商应出具参加政府采购活动前3年内在经营活动中没有重大违法记录的书面声明</w:t>
      </w:r>
    </w:p>
    <w:p>
      <w:pPr>
        <w:pStyle w:val="null3"/>
      </w:pPr>
      <w:r>
        <w:rPr>
          <w:rFonts w:ascii="仿宋_GB2312" w:hAnsi="仿宋_GB2312" w:cs="仿宋_GB2312" w:eastAsia="仿宋_GB2312"/>
        </w:rPr>
        <w:t>9、合同履约能力：供应商具有履行合同所必需的设备和专业技术能力</w:t>
      </w:r>
    </w:p>
    <w:p>
      <w:pPr>
        <w:pStyle w:val="null3"/>
      </w:pPr>
      <w:r>
        <w:rPr>
          <w:rFonts w:ascii="仿宋_GB2312" w:hAnsi="仿宋_GB2312" w:cs="仿宋_GB2312" w:eastAsia="仿宋_GB2312"/>
        </w:rPr>
        <w:t>10、信用中国网、中国政府 采购网查询情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11、供应商关系关联情况：单位负责人为同一人或者存在直接控股、管理关系的不同供应商，不得参加同一合同项下的政府采购活动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渭南市自然资源和规划局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祁磊、牛奕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0913-2931677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正凯建设项目管理有限公司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渭南市朝阳大街2号恒生国际大厦A座505室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郭晓毅、张薇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0913-2021966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以成交金额为计价依据，由成交供应商在领取《成交通知书》时参照原“国家发展计划委员会2002-10-01文件“计价格〔2002〕1980号”关于印发《招标代理服务收费管理暂行办法》的通知收费标准，一次性向采购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渭南市自然资源和规划局</w:t>
      </w:r>
      <w:r>
        <w:rPr>
          <w:rFonts w:ascii="仿宋_GB2312" w:hAnsi="仿宋_GB2312" w:cs="仿宋_GB2312" w:eastAsia="仿宋_GB2312"/>
        </w:rPr>
        <w:t>和</w:t>
      </w:r>
      <w:r>
        <w:rPr>
          <w:rFonts w:ascii="仿宋_GB2312" w:hAnsi="仿宋_GB2312" w:cs="仿宋_GB2312" w:eastAsia="仿宋_GB2312"/>
        </w:rPr>
        <w:t>正凯建设项目管理有限公司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渭南市自然资源和规划局</w:t>
      </w:r>
      <w:r>
        <w:rPr>
          <w:rFonts w:ascii="仿宋_GB2312" w:hAnsi="仿宋_GB2312" w:cs="仿宋_GB2312" w:eastAsia="仿宋_GB2312"/>
        </w:rPr>
        <w:t>负责解释。除上述磋商文件内容，其他内容由</w:t>
      </w:r>
      <w:r>
        <w:rPr>
          <w:rFonts w:ascii="仿宋_GB2312" w:hAnsi="仿宋_GB2312" w:cs="仿宋_GB2312" w:eastAsia="仿宋_GB2312"/>
        </w:rPr>
        <w:t>正凯建设项目管理有限公司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渭南市自然资源和规划局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正凯建设项目管理有限公司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根据自然资源部、陕西省自然资源厅对年度国土变更调查、耕地资源质量分类更新监测和日常变更调查监测要求，成果经自然资源部确认或通过自然资源部审核通过。</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联系人：郭晓毅、张薇</w:t>
      </w:r>
    </w:p>
    <w:p>
      <w:pPr>
        <w:pStyle w:val="null3"/>
      </w:pPr>
      <w:r>
        <w:rPr>
          <w:rFonts w:ascii="仿宋_GB2312" w:hAnsi="仿宋_GB2312" w:cs="仿宋_GB2312" w:eastAsia="仿宋_GB2312"/>
        </w:rPr>
        <w:t>联系电话：0913-2021966</w:t>
      </w:r>
    </w:p>
    <w:p>
      <w:pPr>
        <w:pStyle w:val="null3"/>
      </w:pPr>
      <w:r>
        <w:rPr>
          <w:rFonts w:ascii="仿宋_GB2312" w:hAnsi="仿宋_GB2312" w:cs="仿宋_GB2312" w:eastAsia="仿宋_GB2312"/>
        </w:rPr>
        <w:t>地址：渭南市朝阳大街2号恒生国际大厦A座505室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（1）渭南市2024年度国土变更调查和耕地资源质量分类更新监测市级核查汇总；（2）渭南市2025年度日常变更调查市级核查汇总。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渭南市国土变更调查市级核查汇总项目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标的名称：渭南市国土变更调查市级核查汇总项目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18"/>
              </w:rPr>
              <w:t>1.采购内容：（1）渭南市2024年度国土变更调查和耕地资源质量分类更新监测市级核查汇总；（2）渭南市2025年度日常变更调查</w:t>
            </w:r>
            <w:r>
              <w:rPr>
                <w:rFonts w:ascii="仿宋_GB2312" w:hAnsi="仿宋_GB2312" w:cs="仿宋_GB2312" w:eastAsia="仿宋_GB2312"/>
                <w:sz w:val="18"/>
              </w:rPr>
              <w:t>市级核查</w:t>
            </w:r>
            <w:r>
              <w:rPr>
                <w:rFonts w:ascii="仿宋_GB2312" w:hAnsi="仿宋_GB2312" w:cs="仿宋_GB2312" w:eastAsia="仿宋_GB2312"/>
                <w:sz w:val="18"/>
              </w:rPr>
              <w:t>汇总。</w:t>
            </w:r>
          </w:p>
          <w:p>
            <w:pPr>
              <w:pStyle w:val="null3"/>
              <w:spacing w:after="120"/>
            </w:pPr>
            <w:r>
              <w:rPr>
                <w:rFonts w:ascii="仿宋_GB2312" w:hAnsi="仿宋_GB2312" w:cs="仿宋_GB2312" w:eastAsia="仿宋_GB2312"/>
                <w:sz w:val="18"/>
              </w:rPr>
              <w:t xml:space="preserve">     2.采购清单</w:t>
            </w:r>
          </w:p>
          <w:tbl>
            <w:tblPr>
              <w:tblBorders>
                <w:top w:val="none" w:color="000000" w:sz="4"/>
                <w:left w:val="none" w:color="000000" w:sz="4"/>
                <w:bottom w:val="none" w:color="000000" w:sz="4"/>
                <w:right w:val="none" w:color="000000" w:sz="4"/>
                <w:insideH w:val="none"/>
                <w:insideV w:val="none"/>
              </w:tblBorders>
            </w:tblPr>
            <w:tblGrid>
              <w:gridCol w:w="172"/>
              <w:gridCol w:w="233"/>
              <w:gridCol w:w="295"/>
              <w:gridCol w:w="819"/>
              <w:gridCol w:w="163"/>
              <w:gridCol w:w="233"/>
              <w:gridCol w:w="207"/>
              <w:gridCol w:w="216"/>
              <w:gridCol w:w="216"/>
            </w:tblGrid>
            <w:tr>
              <w:tc>
                <w:tcPr>
                  <w:tcW w:type="dxa" w:w="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工作类别</w:t>
                  </w:r>
                </w:p>
              </w:tc>
              <w:tc>
                <w:tcPr>
                  <w:tcW w:type="dxa" w:w="1347"/>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工作内容</w:t>
                  </w:r>
                </w:p>
              </w:tc>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单价</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元</w:t>
                  </w:r>
                  <w:r>
                    <w:rPr>
                      <w:rFonts w:ascii="仿宋_GB2312" w:hAnsi="仿宋_GB2312" w:cs="仿宋_GB2312" w:eastAsia="仿宋_GB2312"/>
                      <w:sz w:val="18"/>
                      <w:color w:val="000000"/>
                    </w:rPr>
                    <w:t>）</w:t>
                  </w: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元</w:t>
                  </w:r>
                  <w:r>
                    <w:rPr>
                      <w:rFonts w:ascii="仿宋_GB2312" w:hAnsi="仿宋_GB2312" w:cs="仿宋_GB2312" w:eastAsia="仿宋_GB2312"/>
                      <w:sz w:val="18"/>
                      <w:color w:val="000000"/>
                    </w:rPr>
                    <w:t>）</w:t>
                  </w: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合计</w:t>
                  </w:r>
                </w:p>
                <w:p>
                  <w:pPr>
                    <w:pStyle w:val="null3"/>
                    <w:jc w:val="center"/>
                  </w:pPr>
                  <w:r>
                    <w:rPr>
                      <w:rFonts w:ascii="仿宋_GB2312" w:hAnsi="仿宋_GB2312" w:cs="仿宋_GB2312" w:eastAsia="仿宋_GB2312"/>
                      <w:sz w:val="18"/>
                      <w:color w:val="000000"/>
                    </w:rPr>
                    <w:t>（</w:t>
                  </w:r>
                  <w:r>
                    <w:rPr>
                      <w:rFonts w:ascii="仿宋_GB2312" w:hAnsi="仿宋_GB2312" w:cs="仿宋_GB2312" w:eastAsia="仿宋_GB2312"/>
                      <w:sz w:val="18"/>
                      <w:color w:val="000000"/>
                    </w:rPr>
                    <w:t>元</w:t>
                  </w:r>
                  <w:r>
                    <w:rPr>
                      <w:rFonts w:ascii="仿宋_GB2312" w:hAnsi="仿宋_GB2312" w:cs="仿宋_GB2312" w:eastAsia="仿宋_GB2312"/>
                      <w:sz w:val="18"/>
                      <w:color w:val="000000"/>
                    </w:rPr>
                    <w:t>）</w:t>
                  </w:r>
                </w:p>
              </w:tc>
            </w:tr>
            <w:tr>
              <w:tc>
                <w:tcPr>
                  <w:tcW w:type="dxa" w:w="1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市级核查汇总</w:t>
                  </w:r>
                </w:p>
              </w:tc>
              <w:tc>
                <w:tcPr>
                  <w:tcW w:type="dxa" w:w="2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变更调查市级核查</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准备阶段</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制定技术方案、基础资料收集分析，编写方案</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2"/>
                  <w:vMerge/>
                  <w:tcBorders>
                    <w:top w:val="none" w:color="000000" w:sz="4"/>
                    <w:left w:val="single" w:color="000000" w:sz="4"/>
                    <w:bottom w:val="single" w:color="000000" w:sz="4"/>
                    <w:right w:val="single" w:color="000000" w:sz="4"/>
                  </w:tcBorders>
                </w:tcPr>
                <w:p/>
              </w:tc>
              <w:tc>
                <w:tcPr>
                  <w:tcW w:type="dxa" w:w="233"/>
                  <w:vMerge/>
                  <w:tcBorders>
                    <w:top w:val="none" w:color="000000" w:sz="4"/>
                    <w:left w:val="single" w:color="000000" w:sz="4"/>
                    <w:bottom w:val="single" w:color="000000" w:sz="4"/>
                    <w:right w:val="single" w:color="000000" w:sz="4"/>
                  </w:tcBorders>
                </w:tcP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县级数据检查</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完成所有区县成果规范性检查、变更图斑的地类检查和属性检查、对市级初检反馈后修改成果重新进行检查</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vMerge/>
                  <w:tcBorders>
                    <w:top w:val="single" w:color="000000" w:sz="4"/>
                    <w:left w:val="single" w:color="000000" w:sz="4"/>
                    <w:bottom w:val="single" w:color="000000" w:sz="4"/>
                    <w:right w:val="single" w:color="000000" w:sz="4"/>
                  </w:tcBorders>
                </w:tcPr>
                <w:p/>
              </w:tc>
            </w:tr>
            <w:tr>
              <w:tc>
                <w:tcPr>
                  <w:tcW w:type="dxa" w:w="172"/>
                  <w:vMerge/>
                  <w:tcBorders>
                    <w:top w:val="none" w:color="000000" w:sz="4"/>
                    <w:left w:val="single" w:color="000000" w:sz="4"/>
                    <w:bottom w:val="single" w:color="000000" w:sz="4"/>
                    <w:right w:val="single" w:color="000000" w:sz="4"/>
                  </w:tcBorders>
                </w:tcPr>
                <w:p/>
              </w:tc>
              <w:tc>
                <w:tcPr>
                  <w:tcW w:type="dxa" w:w="233"/>
                  <w:vMerge/>
                  <w:tcBorders>
                    <w:top w:val="none" w:color="000000" w:sz="4"/>
                    <w:left w:val="single" w:color="000000" w:sz="4"/>
                    <w:bottom w:val="single" w:color="000000" w:sz="4"/>
                    <w:right w:val="single" w:color="000000" w:sz="4"/>
                  </w:tcBorders>
                </w:tcP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数据库质量检查</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利用</w:t>
                  </w:r>
                  <w:r>
                    <w:rPr>
                      <w:rFonts w:ascii="仿宋_GB2312" w:hAnsi="仿宋_GB2312" w:cs="仿宋_GB2312" w:eastAsia="仿宋_GB2312"/>
                      <w:sz w:val="18"/>
                      <w:color w:val="000000"/>
                    </w:rPr>
                    <w:t>部下</w:t>
                  </w:r>
                  <w:r>
                    <w:rPr>
                      <w:rFonts w:ascii="仿宋_GB2312" w:hAnsi="仿宋_GB2312" w:cs="仿宋_GB2312" w:eastAsia="仿宋_GB2312"/>
                      <w:sz w:val="18"/>
                      <w:color w:val="000000"/>
                    </w:rPr>
                    <w:t>发质检软件对全市所有县级数据库进行质检</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县</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vMerge/>
                  <w:tcBorders>
                    <w:top w:val="single" w:color="000000" w:sz="4"/>
                    <w:left w:val="single" w:color="000000" w:sz="4"/>
                    <w:bottom w:val="single" w:color="000000" w:sz="4"/>
                    <w:right w:val="single" w:color="000000" w:sz="4"/>
                  </w:tcBorders>
                </w:tcPr>
                <w:p/>
              </w:tc>
            </w:tr>
            <w:tr>
              <w:tc>
                <w:tcPr>
                  <w:tcW w:type="dxa" w:w="172"/>
                  <w:vMerge/>
                  <w:tcBorders>
                    <w:top w:val="none" w:color="000000" w:sz="4"/>
                    <w:left w:val="single" w:color="000000" w:sz="4"/>
                    <w:bottom w:val="single" w:color="000000" w:sz="4"/>
                    <w:right w:val="single" w:color="000000" w:sz="4"/>
                  </w:tcBorders>
                </w:tcPr>
                <w:p/>
              </w:tc>
              <w:tc>
                <w:tcPr>
                  <w:tcW w:type="dxa" w:w="233"/>
                  <w:vMerge/>
                  <w:tcBorders>
                    <w:top w:val="none" w:color="000000" w:sz="4"/>
                    <w:left w:val="single" w:color="000000" w:sz="4"/>
                    <w:bottom w:val="single" w:color="000000" w:sz="4"/>
                    <w:right w:val="single" w:color="000000" w:sz="4"/>
                  </w:tcBorders>
                </w:tcP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市级汇总成果分析及整理</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完成市级汇总分析报告成果及各类报表统计</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vMerge/>
                  <w:tcBorders>
                    <w:top w:val="single" w:color="000000" w:sz="4"/>
                    <w:left w:val="single" w:color="000000" w:sz="4"/>
                    <w:bottom w:val="single" w:color="000000" w:sz="4"/>
                    <w:right w:val="single" w:color="000000" w:sz="4"/>
                  </w:tcBorders>
                </w:tcPr>
                <w:p/>
              </w:tc>
            </w:tr>
            <w:tr>
              <w:tc>
                <w:tcPr>
                  <w:tcW w:type="dxa" w:w="172"/>
                  <w:vMerge/>
                  <w:tcBorders>
                    <w:top w:val="none" w:color="000000" w:sz="4"/>
                    <w:left w:val="single" w:color="000000" w:sz="4"/>
                    <w:bottom w:val="single" w:color="000000" w:sz="4"/>
                    <w:right w:val="single" w:color="000000" w:sz="4"/>
                  </w:tcBorders>
                </w:tcPr>
                <w:p/>
              </w:tc>
              <w:tc>
                <w:tcPr>
                  <w:tcW w:type="dxa" w:w="2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耕地资源质量分类更新监测市级核查</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准备阶段</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制定技术方案、基础资料收集分析，编写方案</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2"/>
                  <w:vMerge/>
                  <w:tcBorders>
                    <w:top w:val="none" w:color="000000" w:sz="4"/>
                    <w:left w:val="single" w:color="000000" w:sz="4"/>
                    <w:bottom w:val="single" w:color="000000" w:sz="4"/>
                    <w:right w:val="single" w:color="000000" w:sz="4"/>
                  </w:tcBorders>
                </w:tcPr>
                <w:p/>
              </w:tc>
              <w:tc>
                <w:tcPr>
                  <w:tcW w:type="dxa" w:w="233"/>
                  <w:vMerge/>
                  <w:tcBorders>
                    <w:top w:val="none" w:color="000000" w:sz="4"/>
                    <w:left w:val="single" w:color="000000" w:sz="4"/>
                    <w:bottom w:val="single" w:color="000000" w:sz="4"/>
                    <w:right w:val="single" w:color="000000" w:sz="4"/>
                  </w:tcBorders>
                </w:tcP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县级成果检查</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完成数据成果、数据库成果和文字报告等内容</w:t>
                  </w:r>
                  <w:r>
                    <w:rPr>
                      <w:rFonts w:ascii="仿宋_GB2312" w:hAnsi="仿宋_GB2312" w:cs="仿宋_GB2312" w:eastAsia="仿宋_GB2312"/>
                      <w:sz w:val="18"/>
                      <w:color w:val="000000"/>
                    </w:rPr>
                    <w:t>进行</w:t>
                  </w:r>
                  <w:r>
                    <w:rPr>
                      <w:rFonts w:ascii="仿宋_GB2312" w:hAnsi="仿宋_GB2312" w:cs="仿宋_GB2312" w:eastAsia="仿宋_GB2312"/>
                      <w:sz w:val="18"/>
                      <w:color w:val="000000"/>
                    </w:rPr>
                    <w:t>全面检查</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县</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vMerge/>
                  <w:tcBorders>
                    <w:top w:val="none" w:color="000000" w:sz="4"/>
                    <w:left w:val="single" w:color="000000" w:sz="4"/>
                    <w:bottom w:val="single" w:color="000000" w:sz="4"/>
                    <w:right w:val="single" w:color="000000" w:sz="4"/>
                  </w:tcBorders>
                </w:tcPr>
                <w:p/>
              </w:tc>
            </w:tr>
            <w:tr>
              <w:tc>
                <w:tcPr>
                  <w:tcW w:type="dxa" w:w="172"/>
                  <w:vMerge/>
                  <w:tcBorders>
                    <w:top w:val="none" w:color="000000" w:sz="4"/>
                    <w:left w:val="single" w:color="000000" w:sz="4"/>
                    <w:bottom w:val="single" w:color="000000" w:sz="4"/>
                    <w:right w:val="single" w:color="000000" w:sz="4"/>
                  </w:tcBorders>
                </w:tcPr>
                <w:p/>
              </w:tc>
              <w:tc>
                <w:tcPr>
                  <w:tcW w:type="dxa" w:w="233"/>
                  <w:vMerge/>
                  <w:tcBorders>
                    <w:top w:val="none" w:color="000000" w:sz="4"/>
                    <w:left w:val="single" w:color="000000" w:sz="4"/>
                    <w:bottom w:val="single" w:color="000000" w:sz="4"/>
                    <w:right w:val="single" w:color="000000" w:sz="4"/>
                  </w:tcBorders>
                </w:tcP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市级成果统计、分析、汇总</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完成市级更新监测汇总表和分析报告编写</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vMerge/>
                  <w:tcBorders>
                    <w:top w:val="none" w:color="000000" w:sz="4"/>
                    <w:left w:val="single" w:color="000000" w:sz="4"/>
                    <w:bottom w:val="single" w:color="000000" w:sz="4"/>
                    <w:right w:val="single" w:color="000000" w:sz="4"/>
                  </w:tcBorders>
                </w:tcPr>
                <w:p/>
              </w:tc>
            </w:tr>
            <w:tr>
              <w:tc>
                <w:tcPr>
                  <w:tcW w:type="dxa" w:w="172"/>
                  <w:vMerge/>
                  <w:tcBorders>
                    <w:top w:val="none" w:color="000000" w:sz="4"/>
                    <w:left w:val="single" w:color="000000" w:sz="4"/>
                    <w:bottom w:val="single" w:color="000000" w:sz="4"/>
                    <w:right w:val="single" w:color="000000" w:sz="4"/>
                  </w:tcBorders>
                </w:tcPr>
                <w:p/>
              </w:tc>
              <w:tc>
                <w:tcPr>
                  <w:tcW w:type="dxa" w:w="2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日常变更调查监测市级核查</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县级成果外业检查</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完成县级单位的成果外业图斑抽查</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2"/>
                  <w:vMerge/>
                  <w:tcBorders>
                    <w:top w:val="none" w:color="000000" w:sz="4"/>
                    <w:left w:val="single" w:color="000000" w:sz="4"/>
                    <w:bottom w:val="single" w:color="000000" w:sz="4"/>
                    <w:right w:val="single" w:color="000000" w:sz="4"/>
                  </w:tcBorders>
                </w:tcPr>
                <w:p/>
              </w:tc>
              <w:tc>
                <w:tcPr>
                  <w:tcW w:type="dxa" w:w="233"/>
                  <w:vMerge/>
                  <w:tcBorders>
                    <w:top w:val="none" w:color="000000" w:sz="4"/>
                    <w:left w:val="single" w:color="000000" w:sz="4"/>
                    <w:bottom w:val="single" w:color="000000" w:sz="4"/>
                    <w:right w:val="single" w:color="000000" w:sz="4"/>
                  </w:tcBorders>
                </w:tcP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县级成果内业检查</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完成日常变更调查成果内业检查</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vMerge/>
                  <w:tcBorders>
                    <w:top w:val="none" w:color="000000" w:sz="4"/>
                    <w:left w:val="single" w:color="000000" w:sz="4"/>
                    <w:bottom w:val="single" w:color="000000" w:sz="4"/>
                    <w:right w:val="single" w:color="000000" w:sz="4"/>
                  </w:tcBorders>
                </w:tcPr>
                <w:p/>
              </w:tc>
            </w:tr>
            <w:tr>
              <w:tc>
                <w:tcPr>
                  <w:tcW w:type="dxa" w:w="172"/>
                  <w:vMerge/>
                  <w:tcBorders>
                    <w:top w:val="none" w:color="000000" w:sz="4"/>
                    <w:left w:val="single" w:color="000000" w:sz="4"/>
                    <w:bottom w:val="single" w:color="000000" w:sz="4"/>
                    <w:right w:val="single" w:color="000000" w:sz="4"/>
                  </w:tcBorders>
                </w:tcPr>
                <w:p/>
              </w:tc>
              <w:tc>
                <w:tcPr>
                  <w:tcW w:type="dxa" w:w="233"/>
                  <w:vMerge/>
                  <w:tcBorders>
                    <w:top w:val="none" w:color="000000" w:sz="4"/>
                    <w:left w:val="single" w:color="000000" w:sz="4"/>
                    <w:bottom w:val="single" w:color="000000" w:sz="4"/>
                    <w:right w:val="single" w:color="000000" w:sz="4"/>
                  </w:tcBorders>
                </w:tcP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市级成果汇总统计</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完成日常变更调查成果的汇总统计</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vMerge/>
                  <w:tcBorders>
                    <w:top w:val="none" w:color="000000" w:sz="4"/>
                    <w:left w:val="single" w:color="000000" w:sz="4"/>
                    <w:bottom w:val="single" w:color="000000" w:sz="4"/>
                    <w:right w:val="single" w:color="000000" w:sz="4"/>
                  </w:tcBorders>
                </w:tcPr>
                <w:p/>
              </w:tc>
            </w:tr>
            <w:tr>
              <w:tc>
                <w:tcPr>
                  <w:tcW w:type="dxa" w:w="2338"/>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合</w:t>
                  </w:r>
                  <w:r>
                    <w:rPr>
                      <w:rFonts w:ascii="仿宋_GB2312" w:hAnsi="仿宋_GB2312" w:cs="仿宋_GB2312" w:eastAsia="仿宋_GB2312"/>
                      <w:sz w:val="18"/>
                      <w:color w:val="000000"/>
                    </w:rPr>
                    <w:t>计（元）</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18"/>
              </w:rPr>
              <w:t>3.功能要求：根据《自然资源部办公厅关于开展2024年度全国国土变更调查工作的通知》（自然资办发〔2024〕44号）和《陕西省自然资源厅关于做好2024年度国土变更调查工作的通知》（陕自然资发〔2024〕1502号）要求，在各县市区提交年度国土变更调查、耕地资源质量分类更新监测以及日常变更调查监测初步成果的基础上，及时开展市级核查、汇总等工作。同时，按部、省、市级方案与通知要求，开展汇总等工作，提交相关成果资料，全面掌握全市国土变更调查、耕地资源质量分类更新监测、日常变更调查监测地类、</w:t>
            </w:r>
            <w:r>
              <w:rPr>
                <w:rFonts w:ascii="仿宋_GB2312" w:hAnsi="仿宋_GB2312" w:cs="仿宋_GB2312" w:eastAsia="仿宋_GB2312"/>
                <w:sz w:val="18"/>
              </w:rPr>
              <w:t>面积、属性及相关图层属性信息的变化情况。</w:t>
            </w:r>
          </w:p>
          <w:p>
            <w:pPr>
              <w:pStyle w:val="null3"/>
              <w:jc w:val="left"/>
            </w:pPr>
            <w:r>
              <w:rPr>
                <w:rFonts w:ascii="仿宋_GB2312" w:hAnsi="仿宋_GB2312" w:cs="仿宋_GB2312" w:eastAsia="仿宋_GB2312"/>
                <w:sz w:val="18"/>
              </w:rPr>
              <w:t>4.服务期限：年度国土变更调查和耕地资源质量分类更新监测市级核查汇总项目，自合同签订后90日完成成果上报，最终时间以经自然资源部确认或下发相关成果时间为准。日常变更调查服务期限至2025年12月底。</w:t>
            </w:r>
          </w:p>
          <w:p>
            <w:pPr>
              <w:pStyle w:val="null3"/>
              <w:jc w:val="left"/>
            </w:pPr>
            <w:r>
              <w:rPr>
                <w:rFonts w:ascii="仿宋_GB2312" w:hAnsi="仿宋_GB2312" w:cs="仿宋_GB2312" w:eastAsia="仿宋_GB2312"/>
              </w:rPr>
              <w:t>5.</w:t>
            </w:r>
            <w:r>
              <w:rPr>
                <w:rFonts w:ascii="仿宋_GB2312" w:hAnsi="仿宋_GB2312" w:cs="仿宋_GB2312" w:eastAsia="仿宋_GB2312"/>
                <w:sz w:val="19"/>
                <w:color w:val="000000"/>
              </w:rPr>
              <w:t>服务地点：陕西省渭南市</w:t>
            </w:r>
          </w:p>
          <w:p>
            <w:pPr>
              <w:pStyle w:val="null3"/>
              <w:jc w:val="left"/>
            </w:pPr>
            <w:r>
              <w:rPr>
                <w:rFonts w:ascii="仿宋_GB2312" w:hAnsi="仿宋_GB2312" w:cs="仿宋_GB2312" w:eastAsia="仿宋_GB2312"/>
              </w:rPr>
              <w:t>6..</w:t>
            </w:r>
            <w:r>
              <w:rPr>
                <w:rFonts w:ascii="仿宋_GB2312" w:hAnsi="仿宋_GB2312" w:cs="仿宋_GB2312" w:eastAsia="仿宋_GB2312"/>
                <w:sz w:val="18"/>
              </w:rPr>
              <w:t>需执行的国家相关标准、行业标准、地方标准或者其他标准、规范：</w:t>
            </w:r>
            <w:r>
              <w:rPr>
                <w:rFonts w:ascii="仿宋_GB2312" w:hAnsi="仿宋_GB2312" w:cs="仿宋_GB2312" w:eastAsia="仿宋_GB2312"/>
                <w:sz w:val="18"/>
              </w:rPr>
              <w:t>（1）《中华人民共和国土地管理法》（主席令[2024]第28号）；</w:t>
            </w:r>
            <w:r>
              <w:rPr>
                <w:rFonts w:ascii="仿宋_GB2312" w:hAnsi="仿宋_GB2312" w:cs="仿宋_GB2312" w:eastAsia="仿宋_GB2312"/>
                <w:sz w:val="18"/>
              </w:rPr>
              <w:t>（2）《土地调查条例》（国务院令第518号）；</w:t>
            </w:r>
            <w:r>
              <w:rPr>
                <w:rFonts w:ascii="仿宋_GB2312" w:hAnsi="仿宋_GB2312" w:cs="仿宋_GB2312" w:eastAsia="仿宋_GB2312"/>
                <w:sz w:val="18"/>
              </w:rPr>
              <w:t>（3）《土地调查条例实施办法》（2019年7月16日第二次修正）；</w:t>
            </w:r>
            <w:r>
              <w:rPr>
                <w:rFonts w:ascii="仿宋_GB2312" w:hAnsi="仿宋_GB2312" w:cs="仿宋_GB2312" w:eastAsia="仿宋_GB2312"/>
                <w:sz w:val="18"/>
              </w:rPr>
              <w:t>（4）《自然资源部办公厅关于开展2024年度全国国土变更调查工作的通知》（自然资办发〔2024〕44号）；</w:t>
            </w:r>
            <w:r>
              <w:rPr>
                <w:rFonts w:ascii="仿宋_GB2312" w:hAnsi="仿宋_GB2312" w:cs="仿宋_GB2312" w:eastAsia="仿宋_GB2312"/>
                <w:sz w:val="18"/>
              </w:rPr>
              <w:t>（5）《陕西省自然资源厅关于做好2024年度国土变更调查工作的通知》（陕自然资发〔2024〕1502号）；</w:t>
            </w:r>
            <w:r>
              <w:rPr>
                <w:rFonts w:ascii="仿宋_GB2312" w:hAnsi="仿宋_GB2312" w:cs="仿宋_GB2312" w:eastAsia="仿宋_GB2312"/>
                <w:sz w:val="18"/>
              </w:rPr>
              <w:t>（6）《国土调查数据库标准》（TD/T1057-2020）；</w:t>
            </w:r>
            <w:r>
              <w:rPr>
                <w:rFonts w:ascii="仿宋_GB2312" w:hAnsi="仿宋_GB2312" w:cs="仿宋_GB2312" w:eastAsia="仿宋_GB2312"/>
                <w:sz w:val="18"/>
              </w:rPr>
              <w:t>（7）《国土变更调查技术规程》(2024年度试用)</w:t>
            </w:r>
          </w:p>
          <w:p>
            <w:pPr>
              <w:pStyle w:val="null3"/>
              <w:jc w:val="left"/>
            </w:pPr>
            <w:r>
              <w:rPr>
                <w:rFonts w:ascii="仿宋_GB2312" w:hAnsi="仿宋_GB2312" w:cs="仿宋_GB2312" w:eastAsia="仿宋_GB2312"/>
                <w:sz w:val="18"/>
              </w:rPr>
              <w:t>7.服务指标的具体要求：</w:t>
            </w:r>
          </w:p>
          <w:p>
            <w:pPr>
              <w:pStyle w:val="null3"/>
              <w:spacing w:before="90"/>
              <w:ind w:right="150"/>
              <w:jc w:val="both"/>
            </w:pPr>
            <w:r>
              <w:rPr>
                <w:rFonts w:ascii="仿宋_GB2312" w:hAnsi="仿宋_GB2312" w:cs="仿宋_GB2312" w:eastAsia="仿宋_GB2312"/>
                <w:sz w:val="18"/>
              </w:rPr>
              <w:t>（一）渭南市国土变更调查和耕地资源质量分类更新监测市级核查汇总</w:t>
            </w:r>
          </w:p>
          <w:p>
            <w:pPr>
              <w:pStyle w:val="null3"/>
              <w:ind w:firstLine="388"/>
            </w:pPr>
            <w:r>
              <w:rPr>
                <w:rFonts w:ascii="仿宋_GB2312" w:hAnsi="仿宋_GB2312" w:cs="仿宋_GB2312" w:eastAsia="仿宋_GB2312"/>
                <w:sz w:val="18"/>
              </w:rPr>
              <w:t>根据自然资源部下发遥感监测疑似变化图斑，组织11个县市区统筹利用现有资料，结合自然资源管理成果，开展实地调查举证，掌握国土利用变化情况。同时对各县市区在陕西调查云平台上报举证照片、矢量数据库开展核查汇总，并根据部、省核查意见，组织指导县级修改完善上报成果，最终形成2024年度国土变更调查成果，为今后自然资源管理提供基础底数。</w:t>
            </w:r>
          </w:p>
          <w:p>
            <w:pPr>
              <w:pStyle w:val="null3"/>
            </w:pPr>
            <w:r>
              <w:rPr>
                <w:rFonts w:ascii="仿宋_GB2312" w:hAnsi="仿宋_GB2312" w:cs="仿宋_GB2312" w:eastAsia="仿宋_GB2312"/>
                <w:sz w:val="18"/>
              </w:rPr>
              <w:t>（二）渭南市2025年度日常变更调查市级核查汇总</w:t>
            </w:r>
          </w:p>
          <w:p>
            <w:pPr>
              <w:pStyle w:val="null3"/>
            </w:pPr>
            <w:r>
              <w:rPr>
                <w:rFonts w:ascii="仿宋_GB2312" w:hAnsi="仿宋_GB2312" w:cs="仿宋_GB2312" w:eastAsia="仿宋_GB2312"/>
                <w:sz w:val="18"/>
              </w:rPr>
              <w:t xml:space="preserve">       根据部、省下发有关季度国土变更调查疑似变化图斑，组织11个县市区及时开展外业核实举证拍照，市级及时对各县陕西调查云平台上报举证照片、矢量数据库开展核查汇总，组织指导各县开展初报成果修改完善，并按规定时间节点报送全市成果资料。对各县市区申请的补充耕地类、增减挂类项目新增耕地和其他地类变化图斑，按照国土变更调查技术规程，通过外业举证拍照、陕西调查云平台上传审核、建立矢量数据库图层等程序，完成日常变更调查，并纳入年度国土变更调查。</w:t>
            </w:r>
          </w:p>
          <w:p>
            <w:pPr>
              <w:pStyle w:val="null3"/>
            </w:pPr>
            <w:r>
              <w:rPr>
                <w:rFonts w:ascii="仿宋_GB2312" w:hAnsi="仿宋_GB2312" w:cs="仿宋_GB2312" w:eastAsia="仿宋_GB2312"/>
                <w:sz w:val="18"/>
              </w:rPr>
              <w:t>8.服务质量、标准、期限、效率等要求</w:t>
            </w:r>
          </w:p>
          <w:p>
            <w:pPr>
              <w:pStyle w:val="null3"/>
            </w:pPr>
            <w:r>
              <w:rPr>
                <w:rFonts w:ascii="仿宋_GB2312" w:hAnsi="仿宋_GB2312" w:cs="仿宋_GB2312" w:eastAsia="仿宋_GB2312"/>
                <w:sz w:val="18"/>
              </w:rPr>
              <w:t>（1）.服务期限：年度国土变更调查和耕地资源质量分类更新监测市级核查汇总项目，自合同签订后90日完成成果上报，最终时间以经自然资源部确认或下发相关成果时间为准。日常变更调查服务期限至2025年12月底。</w:t>
            </w:r>
          </w:p>
          <w:p>
            <w:pPr>
              <w:pStyle w:val="null3"/>
            </w:pPr>
            <w:r>
              <w:rPr>
                <w:rFonts w:ascii="仿宋_GB2312" w:hAnsi="仿宋_GB2312" w:cs="仿宋_GB2312" w:eastAsia="仿宋_GB2312"/>
                <w:sz w:val="18"/>
              </w:rPr>
              <w:t>（2）服务质量：上报部、省的国土变更调查、耕地资源质量分类更新监测和日常变更调查监测数据库成果质量必须符合部、省通知与方案要求，顺利通过部、省级核查，符合自然资源日常管理需要；上报的数据库成果资料真实、准确、完整；数据库成果上报自然资源部后，及时向渭南市自然资源和规划局提交有关数据库成果与汇总表格、资料等。</w:t>
            </w:r>
          </w:p>
          <w:p>
            <w:pPr>
              <w:pStyle w:val="null3"/>
            </w:pPr>
            <w:r>
              <w:rPr>
                <w:rFonts w:ascii="仿宋_GB2312" w:hAnsi="仿宋_GB2312" w:cs="仿宋_GB2312" w:eastAsia="仿宋_GB2312"/>
                <w:sz w:val="18"/>
              </w:rPr>
              <w:t>（3）服务要求：按照部、省国土变更调查方案和技术规程，以及日常变更调查规定，及时完成各县市区上报陕西调查云平台举证照片、矢量数据库审核、汇总与分析等工作。同时，配合完成部、省各类检查与成果修改，成果质量顺利通过部、省核查。</w:t>
            </w:r>
          </w:p>
          <w:p>
            <w:pPr>
              <w:pStyle w:val="null3"/>
            </w:pPr>
            <w:r>
              <w:rPr>
                <w:rFonts w:ascii="仿宋_GB2312" w:hAnsi="仿宋_GB2312" w:cs="仿宋_GB2312" w:eastAsia="仿宋_GB2312"/>
                <w:sz w:val="18"/>
              </w:rPr>
              <w:t xml:space="preserve">  预期成果:a.数据库成果。包括更新后的市级数据库、各类统计汇总表等。</w:t>
            </w:r>
          </w:p>
          <w:p>
            <w:pPr>
              <w:pStyle w:val="null3"/>
            </w:pPr>
            <w:r>
              <w:rPr>
                <w:rFonts w:ascii="仿宋_GB2312" w:hAnsi="仿宋_GB2312" w:cs="仿宋_GB2312" w:eastAsia="仿宋_GB2312"/>
                <w:sz w:val="18"/>
              </w:rPr>
              <w:t xml:space="preserve">                b.文字成果。包括土地利用变化情况分析报告。</w:t>
            </w:r>
          </w:p>
          <w:p>
            <w:pPr>
              <w:pStyle w:val="null3"/>
            </w:pPr>
            <w:r>
              <w:rPr>
                <w:rFonts w:ascii="仿宋_GB2312" w:hAnsi="仿宋_GB2312" w:cs="仿宋_GB2312" w:eastAsia="仿宋_GB2312"/>
                <w:sz w:val="18"/>
              </w:rPr>
              <w:t xml:space="preserve">               c.核查成果。市级汇总工作过程中，对县级成果开展并形成的核查检查资料等。</w:t>
            </w:r>
          </w:p>
          <w:p>
            <w:pPr>
              <w:pStyle w:val="null3"/>
              <w:jc w:val="left"/>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详见磋商文件3.2.2服务要求、磋商文件6.4.2评分标准。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详见磋商文件3.2.2服务要求、磋商文件6.4.2评分标准。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详见磋商文件3.2.2服务要求、磋商文件6.4.2评分标准。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年度国土变更调查和耕地资源质量分类更新监测市级核查汇总项目，自合同签订后90日完成成果上报，最终时间以经自然资源部确认或下发相关成果时间为准。日常变更调查服务期限至2025年12月底。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根据自然资源部、陕西省自然资源厅对年度国土变更调查、耕地资源质量分类更新监测和日常变更调查监测要求，成果经自然资源部确认或通过自然资源部审核通过。</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年度国土变更调查、耕地资源质量分类更新监测和年内全部日常变更调查监测成果经自然资源部确认或通过自然资源部审核后，提交正式发票，一次性支付合同总价款。结算方式：由甲方负责结算，乙方根据合同条款按甲方要求开具正式发票交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疏忽、失职、过错等故意或者过失原因给甲方造成损失或侵害，包括但不限于甲方本身的财产损失、由此而导致的甲方对任何第三方的法律责任等，乙方对此均应承担全部的赔偿责任。 （3）甲方未给乙方提供必要的工作条件而造成停窝工时，甲方应付给乙方停窝工费，停窝工费按合同约定的平均工日产值计算，同时工期顺延。 （4）双方本着友好合作的态度,对合同履行过程中发生的纠纷应及时协商解决，协商不成的，向采购人所在地有管辖权的人民法院诉讼解决。 （5）在合同有效期内，任何一方因不可抗力事件导致不能履行合同，则合同履行期可延长，其延长期与不可抗力影响期相同。 （6）合同一经签订，甲乙双方不得擅自变更、中止或者终止合同。对确需变更、调整或者中止、终止合同的，应按规定履行相应的手续。</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预期成果：a.数据库成果。包括更新后的市级数据库、各类统计汇总表等；b.文字成果。包括土地利用变化情况分析报告；c.核查成果。市级汇总工作过程中，对县级成果开展并形成的核查检查资料等。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 的证明材料</w:t>
            </w:r>
          </w:p>
        </w:tc>
        <w:tc>
          <w:tcPr>
            <w:tcW w:type="dxa" w:w="3322"/>
          </w:tcPr>
          <w:p>
            <w:pPr>
              <w:pStyle w:val="null3"/>
            </w:pPr>
            <w:r>
              <w:rPr>
                <w:rFonts w:ascii="仿宋_GB2312" w:hAnsi="仿宋_GB2312" w:cs="仿宋_GB2312" w:eastAsia="仿宋_GB2312"/>
              </w:rPr>
              <w:t>供应商需在项目电子化交易系统中按要求上传 相应证明文件并进行电子签章。</w:t>
            </w:r>
          </w:p>
        </w:tc>
        <w:tc>
          <w:tcPr>
            <w:tcW w:type="dxa" w:w="1661"/>
          </w:tcPr>
          <w:p>
            <w:pPr>
              <w:pStyle w:val="null3"/>
            </w:pPr>
            <w:r>
              <w:rPr>
                <w:rFonts w:ascii="仿宋_GB2312" w:hAnsi="仿宋_GB2312" w:cs="仿宋_GB2312" w:eastAsia="仿宋_GB2312"/>
              </w:rPr>
              <w:t>供应商应提交的相关资格证明材料.docx 供应商特定资格应提交的相关资格证明材料.docx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供应商基本情况</w:t>
            </w:r>
          </w:p>
        </w:tc>
        <w:tc>
          <w:tcPr>
            <w:tcW w:type="dxa" w:w="3322"/>
          </w:tcPr>
          <w:p>
            <w:pPr>
              <w:pStyle w:val="null3"/>
            </w:pPr>
            <w:r>
              <w:rPr>
                <w:rFonts w:ascii="仿宋_GB2312" w:hAnsi="仿宋_GB2312" w:cs="仿宋_GB2312" w:eastAsia="仿宋_GB2312"/>
              </w:rPr>
              <w:t>供应商须具备独立承担民事责任能力的法人或其他组织，并出具合法有效的营业执照（含2024年年度报告）等相关证明</w:t>
            </w:r>
          </w:p>
        </w:tc>
        <w:tc>
          <w:tcPr>
            <w:tcW w:type="dxa" w:w="1661"/>
          </w:tcPr>
          <w:p>
            <w:pPr>
              <w:pStyle w:val="null3"/>
            </w:pPr>
            <w:r>
              <w:rPr>
                <w:rFonts w:ascii="仿宋_GB2312" w:hAnsi="仿宋_GB2312" w:cs="仿宋_GB2312" w:eastAsia="仿宋_GB2312"/>
              </w:rPr>
              <w:t>供应商特定资格应提交的相关资格证明材料.docx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 法定代表人授权委托书</w:t>
            </w:r>
          </w:p>
        </w:tc>
        <w:tc>
          <w:tcPr>
            <w:tcW w:type="dxa" w:w="3322"/>
          </w:tcPr>
          <w:p>
            <w:pPr>
              <w:pStyle w:val="null3"/>
            </w:pPr>
            <w:r>
              <w:rPr>
                <w:rFonts w:ascii="仿宋_GB2312" w:hAnsi="仿宋_GB2312" w:cs="仿宋_GB2312" w:eastAsia="仿宋_GB2312"/>
              </w:rPr>
              <w:t>法定代表人参加的，须提供法定代表人身份证复印件并出示身份证原件；法定代表人授权他人参加的，须提供法定代表人授权委托书原件及法定代表人身份证复印件，并出示被授权代表的身份证原件及复印件和被授权代表近三个月养老保险缴纳证明</w:t>
            </w:r>
          </w:p>
        </w:tc>
        <w:tc>
          <w:tcPr>
            <w:tcW w:type="dxa" w:w="1661"/>
          </w:tcPr>
          <w:p>
            <w:pPr>
              <w:pStyle w:val="null3"/>
            </w:pPr>
            <w:r>
              <w:rPr>
                <w:rFonts w:ascii="仿宋_GB2312" w:hAnsi="仿宋_GB2312" w:cs="仿宋_GB2312" w:eastAsia="仿宋_GB2312"/>
              </w:rPr>
              <w:t>供应商特定资格应提交的相关资格证明材料.docx 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供应商须具有有效的测绘乙级及以上资质，合法有效</w:t>
            </w:r>
          </w:p>
        </w:tc>
        <w:tc>
          <w:tcPr>
            <w:tcW w:type="dxa" w:w="1661"/>
          </w:tcPr>
          <w:p>
            <w:pPr>
              <w:pStyle w:val="null3"/>
            </w:pPr>
            <w:r>
              <w:rPr>
                <w:rFonts w:ascii="仿宋_GB2312" w:hAnsi="仿宋_GB2312" w:cs="仿宋_GB2312" w:eastAsia="仿宋_GB2312"/>
              </w:rPr>
              <w:t>供应商特定资格应提交的相关资格证明材料.docx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项目负责人须具有测绘或地理信息类相关专业中级及以上职称</w:t>
            </w:r>
          </w:p>
        </w:tc>
        <w:tc>
          <w:tcPr>
            <w:tcW w:type="dxa" w:w="1661"/>
          </w:tcPr>
          <w:p>
            <w:pPr>
              <w:pStyle w:val="null3"/>
            </w:pPr>
            <w:r>
              <w:rPr>
                <w:rFonts w:ascii="仿宋_GB2312" w:hAnsi="仿宋_GB2312" w:cs="仿宋_GB2312" w:eastAsia="仿宋_GB2312"/>
              </w:rPr>
              <w:t>供应商特定资格应提交的相关资格证明材料.docx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经会计师事务所或审计机构审计的财务会计报告，包括财务审计报告、资产负债表、现金流量表、利润表、所有者权益表和财务情况说明书或供应商基本存款账户开户银行出具开标日期前六个月内资信证明及基本存款账户开户许可证（基本账户信息表）。（若成立时间至提交响应文件截止时间不足一年的可提供成立后财务报表，包含资产负债表、现金流量表、利润表、所有者权益表）</w:t>
            </w:r>
          </w:p>
        </w:tc>
        <w:tc>
          <w:tcPr>
            <w:tcW w:type="dxa" w:w="1661"/>
          </w:tcPr>
          <w:p>
            <w:pPr>
              <w:pStyle w:val="null3"/>
            </w:pPr>
            <w:r>
              <w:rPr>
                <w:rFonts w:ascii="仿宋_GB2312" w:hAnsi="仿宋_GB2312" w:cs="仿宋_GB2312" w:eastAsia="仿宋_GB2312"/>
              </w:rPr>
              <w:t>供应商应提交的相关资格证明材料.docx 供应商特定资格应提交的相关资格证明材料.docx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2024年7月至今已缴纳的连续三个月纳税证明或完税证明，依法免税的单位应提供相关证明材料</w:t>
            </w:r>
          </w:p>
        </w:tc>
        <w:tc>
          <w:tcPr>
            <w:tcW w:type="dxa" w:w="1661"/>
          </w:tcPr>
          <w:p>
            <w:pPr>
              <w:pStyle w:val="null3"/>
            </w:pPr>
            <w:r>
              <w:rPr>
                <w:rFonts w:ascii="仿宋_GB2312" w:hAnsi="仿宋_GB2312" w:cs="仿宋_GB2312" w:eastAsia="仿宋_GB2312"/>
              </w:rPr>
              <w:t>供应商特定资格应提交的相关资格证明材料.docx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2024年7月至今已缴纳的连续三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供应商特定资格应提交的相关资格证明材料.docx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供应商特定资格应提交的相关资格证明材料.docx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合同履约能力</w:t>
            </w:r>
          </w:p>
        </w:tc>
        <w:tc>
          <w:tcPr>
            <w:tcW w:type="dxa" w:w="3322"/>
          </w:tcPr>
          <w:p>
            <w:pPr>
              <w:pStyle w:val="null3"/>
            </w:pPr>
            <w:r>
              <w:rPr>
                <w:rFonts w:ascii="仿宋_GB2312" w:hAnsi="仿宋_GB2312" w:cs="仿宋_GB2312" w:eastAsia="仿宋_GB2312"/>
              </w:rPr>
              <w:t>供应商具有履行合同所必需的设备和专业技术能力</w:t>
            </w:r>
          </w:p>
        </w:tc>
        <w:tc>
          <w:tcPr>
            <w:tcW w:type="dxa" w:w="1661"/>
          </w:tcPr>
          <w:p>
            <w:pPr>
              <w:pStyle w:val="null3"/>
            </w:pPr>
            <w:r>
              <w:rPr>
                <w:rFonts w:ascii="仿宋_GB2312" w:hAnsi="仿宋_GB2312" w:cs="仿宋_GB2312" w:eastAsia="仿宋_GB2312"/>
              </w:rPr>
              <w:t>供应商应提交的相关资格证明材料.docx 供应商特定资格应提交的相关资格证明材料.docx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信用中国网、中国政府 采购网查询情况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供应商特定资格应提交的相关资格证明材料.docx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供应商关系关联情况</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供应商特定资格应提交的相关资格证明材料.docx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代表人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供应商特定资格应提交的相关资格证明材料.docx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服务内容及服务邀请应答表 中小企业声明函 供应商特定资格应提交的相关资格证明材料.docx 商务应答表 报价表 响应文件封面 分项报价表.docx 供应商应提交的相关资格证明材料.docx 企业综合实力.docx 残疾人福利性单位声明函 服务方案 标的清单 响应函 法定代表人身份证明或法定代表人授权委托书.docx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供应商特定资格应提交的相关资格证明材料.docx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年度国土变更调查和耕地资源质量分类更新监测市级核查汇总项目，自合同签订后90日完成成果上报，最终时间以经自然资源部确认或下发相关成果时间为准。日常变更调查服务期限至2025年12月底</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陕西省渭南市</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和最后报价相同的，按照服务方案优劣顺序推荐；评审得分和最后报价及服务方案得分仍相同的，由磋商小组共同推荐本采购项目其他指标进行对比，依次类推。</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企业综合实力</w:t>
            </w:r>
          </w:p>
        </w:tc>
        <w:tc>
          <w:tcPr>
            <w:tcW w:type="dxa" w:w="2492"/>
          </w:tcPr>
          <w:p>
            <w:pPr>
              <w:pStyle w:val="null3"/>
            </w:pPr>
            <w:r>
              <w:rPr>
                <w:rFonts w:ascii="仿宋_GB2312" w:hAnsi="仿宋_GB2312" w:cs="仿宋_GB2312" w:eastAsia="仿宋_GB2312"/>
              </w:rPr>
              <w:t>企业业绩：提供近三年（2022年7月至今）承担过类似项目业绩，有一项有效业绩得3分，最高得12分（以合同为准，时间以合同签订时间为准）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企业 综合 实力</w:t>
            </w:r>
          </w:p>
        </w:tc>
        <w:tc>
          <w:tcPr>
            <w:tcW w:type="dxa" w:w="2492"/>
          </w:tcPr>
          <w:p>
            <w:pPr>
              <w:pStyle w:val="null3"/>
            </w:pPr>
            <w:r>
              <w:rPr>
                <w:rFonts w:ascii="仿宋_GB2312" w:hAnsi="仿宋_GB2312" w:cs="仿宋_GB2312" w:eastAsia="仿宋_GB2312"/>
              </w:rPr>
              <w:t>项目负责人资历：（1）具有测绘或地理信息类相关专业高级职称得2分，中级职称得1分，其余不得分。（2）提供近三年（2022年7月至今）承接过类似项目业绩，有一项有效业绩得2分，最高得6分（时间以合同签订时间为准，合同中约定项目负责人姓名或任命书中项目负责人姓名或合同附件中约定的项目负责人姓名）</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服务方案项目现状及背景认识</w:t>
            </w:r>
          </w:p>
        </w:tc>
        <w:tc>
          <w:tcPr>
            <w:tcW w:type="dxa" w:w="2492"/>
          </w:tcPr>
          <w:p>
            <w:pPr>
              <w:pStyle w:val="null3"/>
            </w:pPr>
            <w:r>
              <w:rPr>
                <w:rFonts w:ascii="仿宋_GB2312" w:hAnsi="仿宋_GB2312" w:cs="仿宋_GB2312" w:eastAsia="仿宋_GB2312"/>
              </w:rPr>
              <w:t>根据供应商对项目现状及项目背景的认识分析情况的准确程度进行赋分，对现状及背景认识程度完整、准确、客观得3.1-5分；对现状及背景认识程度较完整、较准确、较客观得1-3分；未提供不得分。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服务方案技术路线</w:t>
            </w:r>
          </w:p>
        </w:tc>
        <w:tc>
          <w:tcPr>
            <w:tcW w:type="dxa" w:w="2492"/>
          </w:tcPr>
          <w:p>
            <w:pPr>
              <w:pStyle w:val="null3"/>
            </w:pPr>
            <w:r>
              <w:rPr>
                <w:rFonts w:ascii="仿宋_GB2312" w:hAnsi="仿宋_GB2312" w:cs="仿宋_GB2312" w:eastAsia="仿宋_GB2312"/>
              </w:rPr>
              <w:t>技术线路合理、科学符合国家和地方相关技术规范和标准、针对项目特点有创新性和针对性，可操作性强得4.1-10分；技术线路基本合理，且满足要求得1-4分；技术线路存在明显缺陷或未提供不得分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服务方案质量控制及措施</w:t>
            </w:r>
          </w:p>
        </w:tc>
        <w:tc>
          <w:tcPr>
            <w:tcW w:type="dxa" w:w="2492"/>
          </w:tcPr>
          <w:p>
            <w:pPr>
              <w:pStyle w:val="null3"/>
            </w:pPr>
            <w:r>
              <w:rPr>
                <w:rFonts w:ascii="仿宋_GB2312" w:hAnsi="仿宋_GB2312" w:cs="仿宋_GB2312" w:eastAsia="仿宋_GB2312"/>
              </w:rPr>
              <w:t>质量保证措施，质量保证措施方案有效可行，具有完善的内部管理体系、工作流程、信息反馈渠道得7.1-10分；质量保证措施方案较合理、内部管理架构较完善得3.1-7分；质量保证措施一般、内部管理架构一般得1-3分；不响应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服务方案进度计划及保障措施</w:t>
            </w:r>
          </w:p>
        </w:tc>
        <w:tc>
          <w:tcPr>
            <w:tcW w:type="dxa" w:w="2492"/>
          </w:tcPr>
          <w:p>
            <w:pPr>
              <w:pStyle w:val="null3"/>
            </w:pPr>
            <w:r>
              <w:rPr>
                <w:rFonts w:ascii="仿宋_GB2312" w:hAnsi="仿宋_GB2312" w:cs="仿宋_GB2312" w:eastAsia="仿宋_GB2312"/>
              </w:rPr>
              <w:t>根据项目任务和时限要求，提供详细可行、科学合理的项目实施计划和方案进度安排合理、措施完整、可操作性强得4.1-10分；进度安排一般、措施一般、可操作性一般得1-4分、不响应得0分。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服务方案重点难点分析</w:t>
            </w:r>
          </w:p>
        </w:tc>
        <w:tc>
          <w:tcPr>
            <w:tcW w:type="dxa" w:w="2492"/>
          </w:tcPr>
          <w:p>
            <w:pPr>
              <w:pStyle w:val="null3"/>
            </w:pPr>
            <w:r>
              <w:rPr>
                <w:rFonts w:ascii="仿宋_GB2312" w:hAnsi="仿宋_GB2312" w:cs="仿宋_GB2312" w:eastAsia="仿宋_GB2312"/>
              </w:rPr>
              <w:t>重点难点分析准确到位、解决措施合理、有详细说明得2.1-5分；重点难点分析基本准确到位、解决措施基本合理、各方面有说明但说明表述较清晰得1-2分； 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服务方案保密管理方案</w:t>
            </w:r>
          </w:p>
        </w:tc>
        <w:tc>
          <w:tcPr>
            <w:tcW w:type="dxa" w:w="2492"/>
          </w:tcPr>
          <w:p>
            <w:pPr>
              <w:pStyle w:val="null3"/>
            </w:pPr>
            <w:r>
              <w:rPr>
                <w:rFonts w:ascii="仿宋_GB2312" w:hAnsi="仿宋_GB2312" w:cs="仿宋_GB2312" w:eastAsia="仿宋_GB2312"/>
              </w:rPr>
              <w:t>根据供应商对项目实施过程及成果的保密管理制度进行赋分，保密制度完整包含文件管理、人员管理、设备管理等，制度齐全且内容详细，贴合国土变更调查项目特点得3.1-5分；制度较全面，内容较简略得1-3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服务方案合理化建议</w:t>
            </w:r>
          </w:p>
        </w:tc>
        <w:tc>
          <w:tcPr>
            <w:tcW w:type="dxa" w:w="2492"/>
          </w:tcPr>
          <w:p>
            <w:pPr>
              <w:pStyle w:val="null3"/>
            </w:pPr>
            <w:r>
              <w:rPr>
                <w:rFonts w:ascii="仿宋_GB2312" w:hAnsi="仿宋_GB2312" w:cs="仿宋_GB2312" w:eastAsia="仿宋_GB2312"/>
              </w:rPr>
              <w:t>针对本项目提出全面、详细、合理、可行、有针对性的意见和建议，能最大程度满足项目需要，根据响应程度，建议合理、可行、操作性强得3.1-5分，建议一般、较可行得1-3分，未提供不得分。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服务方案服务承诺</w:t>
            </w:r>
          </w:p>
        </w:tc>
        <w:tc>
          <w:tcPr>
            <w:tcW w:type="dxa" w:w="2492"/>
          </w:tcPr>
          <w:p>
            <w:pPr>
              <w:pStyle w:val="null3"/>
            </w:pPr>
            <w:r>
              <w:rPr>
                <w:rFonts w:ascii="仿宋_GB2312" w:hAnsi="仿宋_GB2312" w:cs="仿宋_GB2312" w:eastAsia="仿宋_GB2312"/>
              </w:rPr>
              <w:t>根据本项目的采购内容，服务期限做出切实可行的服务承诺，确保项目能按时保质保量完成。承诺内容清晰、承诺指标明确性强，后续服务具有可延续性，得3.1-5分；承诺及措施科学合理，基本满足项目需求，得1-3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服务方案服务团队</w:t>
            </w:r>
          </w:p>
        </w:tc>
        <w:tc>
          <w:tcPr>
            <w:tcW w:type="dxa" w:w="2492"/>
          </w:tcPr>
          <w:p>
            <w:pPr>
              <w:pStyle w:val="null3"/>
            </w:pPr>
            <w:r>
              <w:rPr>
                <w:rFonts w:ascii="仿宋_GB2312" w:hAnsi="仿宋_GB2312" w:cs="仿宋_GB2312" w:eastAsia="仿宋_GB2312"/>
              </w:rPr>
              <w:t>（1）除项目负责人外其他人员：拟投入其他人员中具有与本项目相关专业执业资格，每提供1名人员得0.5分，最高得2分。 （2）服务团队：针对本项目有具体的实施组织机构、项目团队有明确的组织形式、人员结构，职责任务明确、时间安排及分工合理，能确保项目顺利实施，根据响应程度，优秀得2.1-3分，一般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2.满足磋商文件实质性要求且最终报价最低的供应商的报价为磋商基准价，其价格分为满分20分。 3.磋商报价得分=（磋商基准价/最终磋商报价）×20%×100的公式计算得分。 4.磋商报价不完整的，不进入评标标准价的计算，本项得0分。 5.经磋商小组一致认定，供应商的最终磋商报价低于公认市场成本，或超过最高限价,其响应将被拒绝。</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详见附件：供应商特定资格应提交的相关资格证明材料.docx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详见附件：企业综合实力.docx</w:t>
      </w:r>
    </w:p>
    <w:p>
      <w:pPr>
        <w:pStyle w:val="null3"/>
        <w:ind w:firstLine="960"/>
      </w:pPr>
      <w:r>
        <w:rPr>
          <w:rFonts w:ascii="仿宋_GB2312" w:hAnsi="仿宋_GB2312" w:cs="仿宋_GB2312" w:eastAsia="仿宋_GB2312"/>
        </w:rPr>
        <w:t>详见附件：法定代表人身份证明或法定代表人授权委托书.docx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