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B9663">
      <w:pPr>
        <w:keepNext/>
        <w:keepLines w:val="0"/>
        <w:pageBreakBefore w:val="0"/>
        <w:kinsoku/>
        <w:wordWrap/>
        <w:overflowPunct/>
        <w:topLinePunct w:val="0"/>
        <w:bidi w:val="0"/>
        <w:spacing w:line="360" w:lineRule="auto"/>
        <w:ind w:left="0" w:leftChars="0" w:firstLine="0" w:firstLineChars="0"/>
        <w:jc w:val="center"/>
        <w:textAlignment w:val="auto"/>
        <w:rPr>
          <w:rFonts w:hint="eastAsia" w:ascii="仿宋" w:hAnsi="仿宋" w:eastAsia="仿宋" w:cs="仿宋"/>
          <w:b/>
          <w:bCs/>
          <w:sz w:val="32"/>
          <w:szCs w:val="32"/>
        </w:rPr>
      </w:pPr>
      <w:bookmarkStart w:id="0" w:name="_Toc419045055"/>
      <w:bookmarkStart w:id="1" w:name="_Toc488498965"/>
      <w:r>
        <w:rPr>
          <w:rFonts w:hint="eastAsia" w:ascii="仿宋" w:hAnsi="仿宋" w:eastAsia="仿宋" w:cs="仿宋"/>
          <w:b/>
          <w:bCs/>
          <w:sz w:val="32"/>
          <w:szCs w:val="32"/>
        </w:rPr>
        <w:t>　协</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议</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书</w:t>
      </w:r>
      <w:bookmarkEnd w:id="0"/>
      <w:bookmarkEnd w:id="1"/>
    </w:p>
    <w:p w14:paraId="0FC644B7">
      <w:pPr>
        <w:keepNext/>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sz w:val="21"/>
          <w:szCs w:val="21"/>
          <w:u w:val="single"/>
        </w:rPr>
      </w:pPr>
      <w:bookmarkStart w:id="2" w:name="7"/>
      <w:r>
        <w:rPr>
          <w:rFonts w:hint="eastAsia" w:asciiTheme="minorEastAsia" w:hAnsiTheme="minorEastAsia" w:eastAsiaTheme="minorEastAsia" w:cstheme="minorEastAsia"/>
          <w:sz w:val="21"/>
          <w:szCs w:val="21"/>
          <w:lang w:eastAsia="zh-CN"/>
        </w:rPr>
        <w:t>采购</w:t>
      </w:r>
      <w:r>
        <w:rPr>
          <w:rFonts w:hint="eastAsia" w:asciiTheme="minorEastAsia" w:hAnsiTheme="minorEastAsia" w:eastAsiaTheme="minorEastAsia" w:cstheme="minorEastAsia"/>
          <w:sz w:val="21"/>
          <w:szCs w:val="21"/>
        </w:rPr>
        <w:t xml:space="preserve">人（甲方）： </w:t>
      </w:r>
      <w:r>
        <w:rPr>
          <w:rFonts w:hint="eastAsia" w:asciiTheme="minorEastAsia" w:hAnsiTheme="minorEastAsia" w:eastAsiaTheme="minorEastAsia" w:cstheme="minorEastAsia"/>
          <w:sz w:val="21"/>
          <w:szCs w:val="21"/>
          <w:u w:val="single"/>
        </w:rPr>
        <w:t xml:space="preserve">                            </w:t>
      </w:r>
    </w:p>
    <w:p w14:paraId="582395E7">
      <w:pPr>
        <w:keepNext/>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成交</w:t>
      </w:r>
      <w:r>
        <w:rPr>
          <w:rFonts w:hint="eastAsia" w:asciiTheme="minorEastAsia" w:hAnsiTheme="minorEastAsia" w:eastAsiaTheme="minorEastAsia" w:cstheme="minorEastAsia"/>
          <w:sz w:val="21"/>
          <w:szCs w:val="21"/>
        </w:rPr>
        <w:t xml:space="preserve">人（乙方）： </w:t>
      </w:r>
      <w:r>
        <w:rPr>
          <w:rFonts w:hint="eastAsia" w:asciiTheme="minorEastAsia" w:hAnsiTheme="minorEastAsia" w:eastAsiaTheme="minorEastAsia" w:cstheme="minorEastAsia"/>
          <w:sz w:val="21"/>
          <w:szCs w:val="21"/>
          <w:u w:val="single"/>
        </w:rPr>
        <w:t xml:space="preserve">                            </w:t>
      </w:r>
      <w:bookmarkStart w:id="3" w:name="_Toc419045056"/>
    </w:p>
    <w:p w14:paraId="427044E4">
      <w:pPr>
        <w:keepNext/>
        <w:keepLines w:val="0"/>
        <w:pageBreakBefore w:val="0"/>
        <w:widowControl w:val="0"/>
        <w:kinsoku/>
        <w:wordWrap/>
        <w:overflowPunct/>
        <w:topLinePunct w:val="0"/>
        <w:autoSpaceDE/>
        <w:autoSpaceDN/>
        <w:bidi w:val="0"/>
        <w:spacing w:line="440" w:lineRule="exac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一、项目概况</w:t>
      </w:r>
    </w:p>
    <w:p w14:paraId="5BEB98ED">
      <w:pPr>
        <w:keepNext/>
        <w:keepLines w:val="0"/>
        <w:pageBreakBefore w:val="0"/>
        <w:widowControl w:val="0"/>
        <w:kinsoku/>
        <w:wordWrap/>
        <w:overflowPunct/>
        <w:topLinePunct w:val="0"/>
        <w:autoSpaceDE/>
        <w:autoSpaceDN/>
        <w:bidi w:val="0"/>
        <w:adjustRightInd w:val="0"/>
        <w:snapToGrid w:val="0"/>
        <w:spacing w:line="440" w:lineRule="exact"/>
        <w:ind w:left="1739" w:leftChars="228" w:hanging="1260" w:hangingChars="6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w:t>
      </w:r>
      <w:r>
        <w:rPr>
          <w:rFonts w:hint="eastAsia" w:asciiTheme="minorEastAsia" w:hAnsiTheme="minorEastAsia" w:eastAsiaTheme="minorEastAsia" w:cstheme="minorEastAsia"/>
          <w:sz w:val="21"/>
          <w:szCs w:val="21"/>
          <w:highlight w:val="none"/>
          <w:lang w:eastAsia="zh-CN"/>
        </w:rPr>
        <w:t>采购项目</w:t>
      </w:r>
      <w:r>
        <w:rPr>
          <w:rFonts w:hint="eastAsia" w:asciiTheme="minorEastAsia" w:hAnsiTheme="minorEastAsia" w:eastAsiaTheme="minorEastAsia" w:cstheme="minorEastAsia"/>
          <w:sz w:val="21"/>
          <w:szCs w:val="21"/>
          <w:highlight w:val="none"/>
        </w:rPr>
        <w:t>名称：</w:t>
      </w:r>
      <w:r>
        <w:rPr>
          <w:rFonts w:hint="eastAsia" w:asciiTheme="minorEastAsia" w:hAnsiTheme="minorEastAsia" w:eastAsiaTheme="minorEastAsia" w:cstheme="minorEastAsia"/>
          <w:sz w:val="21"/>
          <w:szCs w:val="21"/>
          <w:highlight w:val="none"/>
          <w:u w:val="single"/>
          <w:lang w:val="en-US" w:eastAsia="zh-CN"/>
        </w:rPr>
        <w:t xml:space="preserve"> 渭南市国土变更调查市级核查汇总项目</w:t>
      </w:r>
    </w:p>
    <w:p w14:paraId="3F98E8F4">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Theme="minorEastAsia" w:hAnsiTheme="minorEastAsia" w:eastAsiaTheme="minorEastAsia" w:cstheme="minorEastAsia"/>
          <w:sz w:val="21"/>
          <w:szCs w:val="21"/>
          <w:highlight w:val="none"/>
          <w:u w:val="single"/>
          <w:lang w:val="en-US"/>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服务</w:t>
      </w:r>
      <w:r>
        <w:rPr>
          <w:rFonts w:hint="eastAsia" w:asciiTheme="minorEastAsia" w:hAnsiTheme="minorEastAsia" w:eastAsiaTheme="minorEastAsia" w:cstheme="minorEastAsia"/>
          <w:sz w:val="21"/>
          <w:szCs w:val="21"/>
          <w:highlight w:val="none"/>
        </w:rPr>
        <w:t>地点：</w:t>
      </w:r>
      <w:r>
        <w:rPr>
          <w:rFonts w:hint="eastAsia" w:asciiTheme="minorEastAsia" w:hAnsiTheme="minorEastAsia" w:eastAsiaTheme="minorEastAsia" w:cstheme="minorEastAsia"/>
          <w:sz w:val="21"/>
          <w:szCs w:val="21"/>
          <w:highlight w:val="none"/>
          <w:u w:val="single"/>
          <w:lang w:val="en-US" w:eastAsia="zh-CN"/>
        </w:rPr>
        <w:t xml:space="preserve">陕西省渭南市 </w:t>
      </w:r>
    </w:p>
    <w:p w14:paraId="1D97F607">
      <w:pPr>
        <w:pStyle w:val="5"/>
        <w:keepNext w:val="0"/>
        <w:keepLines w:val="0"/>
        <w:pageBreakBefore w:val="0"/>
        <w:widowControl w:val="0"/>
        <w:numPr>
          <w:ilvl w:val="0"/>
          <w:numId w:val="0"/>
        </w:numPr>
        <w:kinsoku/>
        <w:wordWrap/>
        <w:overflowPunct/>
        <w:topLinePunct w:val="0"/>
        <w:autoSpaceDE/>
        <w:autoSpaceDN/>
        <w:bidi w:val="0"/>
        <w:adjustRightInd/>
        <w:snapToGrid/>
        <w:spacing w:after="0" w:line="360" w:lineRule="atLeast"/>
        <w:ind w:firstLine="420" w:firstLineChars="200"/>
        <w:jc w:val="both"/>
        <w:textAlignment w:val="auto"/>
        <w:rPr>
          <w:rFonts w:hint="eastAsia" w:asciiTheme="minorEastAsia" w:hAnsiTheme="minorEastAsia" w:eastAsiaTheme="minorEastAsia" w:cstheme="minorEastAsia"/>
          <w:color w:val="auto"/>
          <w:kern w:val="2"/>
          <w:sz w:val="21"/>
          <w:szCs w:val="21"/>
          <w:highlight w:val="none"/>
          <w:u w:val="single"/>
          <w:lang w:val="en-US" w:eastAsia="zh-CN" w:bidi="ar-SA"/>
        </w:rPr>
      </w:pPr>
      <w:r>
        <w:rPr>
          <w:rFonts w:hint="eastAsia" w:asciiTheme="minorEastAsia" w:hAnsiTheme="minorEastAsia" w:eastAsiaTheme="minorEastAsia" w:cstheme="minorEastAsia"/>
          <w:sz w:val="21"/>
          <w:szCs w:val="21"/>
          <w:highlight w:val="none"/>
        </w:rPr>
        <w:t>3.</w:t>
      </w:r>
      <w:r>
        <w:rPr>
          <w:rFonts w:hint="eastAsia" w:asciiTheme="minorEastAsia" w:hAnsiTheme="minorEastAsia" w:eastAsiaTheme="minorEastAsia" w:cstheme="minorEastAsia"/>
          <w:sz w:val="21"/>
          <w:szCs w:val="21"/>
          <w:highlight w:val="none"/>
          <w:lang w:eastAsia="zh-CN"/>
        </w:rPr>
        <w:t>服务</w:t>
      </w:r>
      <w:r>
        <w:rPr>
          <w:rFonts w:hint="eastAsia" w:asciiTheme="minorEastAsia" w:hAnsiTheme="minorEastAsia" w:eastAsiaTheme="minorEastAsia" w:cstheme="minorEastAsia"/>
          <w:sz w:val="21"/>
          <w:szCs w:val="21"/>
          <w:highlight w:val="none"/>
        </w:rPr>
        <w:t>内容：</w:t>
      </w:r>
      <w:r>
        <w:rPr>
          <w:rFonts w:hint="eastAsia" w:asciiTheme="minorEastAsia" w:hAnsiTheme="minorEastAsia" w:eastAsiaTheme="minorEastAsia" w:cstheme="minorEastAsia"/>
          <w:color w:val="auto"/>
          <w:kern w:val="2"/>
          <w:sz w:val="21"/>
          <w:szCs w:val="21"/>
          <w:highlight w:val="none"/>
          <w:u w:val="single"/>
          <w:lang w:val="en-US" w:eastAsia="zh-CN" w:bidi="ar-SA"/>
        </w:rPr>
        <w:t>（1）渭南市2024年度国土变更调查和耕地资源质量分类更新监测市级核查汇总；（2）渭南市2025年度日常变更调查市级核查汇总。</w:t>
      </w:r>
    </w:p>
    <w:p w14:paraId="604D966E">
      <w:pPr>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heme="minorEastAsia" w:hAnsiTheme="minorEastAsia" w:eastAsiaTheme="minorEastAsia" w:cstheme="minorEastAsia"/>
          <w:color w:val="auto"/>
          <w:kern w:val="2"/>
          <w:sz w:val="21"/>
          <w:szCs w:val="21"/>
          <w:highlight w:val="none"/>
          <w:u w:val="singl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4.服务期限：</w:t>
      </w:r>
      <w:r>
        <w:rPr>
          <w:rFonts w:hint="eastAsia" w:asciiTheme="minorEastAsia" w:hAnsiTheme="minorEastAsia" w:eastAsiaTheme="minorEastAsia" w:cstheme="minorEastAsia"/>
          <w:color w:val="auto"/>
          <w:kern w:val="2"/>
          <w:sz w:val="21"/>
          <w:szCs w:val="21"/>
          <w:highlight w:val="none"/>
          <w:u w:val="single"/>
          <w:lang w:val="en-US" w:eastAsia="zh-CN" w:bidi="ar-SA"/>
        </w:rPr>
        <w:t>年度国土变更调查和耕地资</w:t>
      </w:r>
      <w:bookmarkStart w:id="4" w:name="_GoBack"/>
      <w:bookmarkEnd w:id="4"/>
      <w:r>
        <w:rPr>
          <w:rFonts w:hint="eastAsia" w:asciiTheme="minorEastAsia" w:hAnsiTheme="minorEastAsia" w:eastAsiaTheme="minorEastAsia" w:cstheme="minorEastAsia"/>
          <w:color w:val="auto"/>
          <w:kern w:val="2"/>
          <w:sz w:val="21"/>
          <w:szCs w:val="21"/>
          <w:highlight w:val="none"/>
          <w:u w:val="single"/>
          <w:lang w:val="en-US" w:eastAsia="zh-CN" w:bidi="ar-SA"/>
        </w:rPr>
        <w:t>源质量分类更新监测市级核查汇总项目，自合同签订后90日完成成果上报，最终时间以经自然资源部确认或下发相关成果时间为准。日常变更调查服务期限至2025年12月底。</w:t>
      </w:r>
    </w:p>
    <w:p w14:paraId="5707280E">
      <w:pPr>
        <w:keepNext/>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二、组成本合同的文件</w:t>
      </w:r>
    </w:p>
    <w:p w14:paraId="31625F3B">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 协议书；</w:t>
      </w:r>
    </w:p>
    <w:p w14:paraId="7E3F8F90">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 成交通知书、磋商响应文件、磋商文件、澄清、磋商补充文件（或委托书）；</w:t>
      </w:r>
    </w:p>
    <w:p w14:paraId="5A9B8091">
      <w:pPr>
        <w:keepNext/>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相关服务建议书；</w:t>
      </w:r>
    </w:p>
    <w:p w14:paraId="3ABDBB07">
      <w:pPr>
        <w:keepNext/>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4. 附录，即：附表内相关服务的范围和内容；</w:t>
      </w:r>
    </w:p>
    <w:p w14:paraId="0BBE98C3">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本合同签订后，双方依法签订的补充协议也是本合同文件的组成部分。</w:t>
      </w:r>
    </w:p>
    <w:p w14:paraId="1537F833">
      <w:pPr>
        <w:keepNext/>
        <w:keepLines w:val="0"/>
        <w:pageBreakBefore w:val="0"/>
        <w:widowControl w:val="0"/>
        <w:kinsoku/>
        <w:wordWrap/>
        <w:overflowPunct/>
        <w:topLinePunct w:val="0"/>
        <w:autoSpaceDE/>
        <w:autoSpaceDN/>
        <w:bidi w:val="0"/>
        <w:spacing w:line="440" w:lineRule="exac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三、合同价款</w:t>
      </w:r>
    </w:p>
    <w:p w14:paraId="1A8A447E">
      <w:pPr>
        <w:keepNext/>
        <w:keepLines w:val="0"/>
        <w:pageBreakBefore w:val="0"/>
        <w:widowControl w:val="0"/>
        <w:kinsoku/>
        <w:wordWrap/>
        <w:overflowPunct/>
        <w:topLinePunct w:val="0"/>
        <w:autoSpaceDE/>
        <w:autoSpaceDN/>
        <w:bidi w:val="0"/>
        <w:adjustRightInd w:val="0"/>
        <w:snapToGrid w:val="0"/>
        <w:spacing w:line="44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1.合同金额（大写）：</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w:t>
      </w:r>
    </w:p>
    <w:p w14:paraId="34129D36">
      <w:pPr>
        <w:keepNext/>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val="en-US" w:eastAsia="zh-CN"/>
        </w:rPr>
        <w:t>合同类型：</w:t>
      </w:r>
      <w:r>
        <w:rPr>
          <w:rFonts w:hint="eastAsia" w:asciiTheme="minorEastAsia" w:hAnsiTheme="minorEastAsia" w:eastAsiaTheme="minorEastAsia" w:cstheme="minorEastAsia"/>
          <w:sz w:val="21"/>
          <w:szCs w:val="21"/>
          <w:highlight w:val="none"/>
          <w:u w:val="single"/>
          <w:lang w:val="en-US" w:eastAsia="zh-CN"/>
        </w:rPr>
        <w:t>固定总价合同,一次包死，不受市场价变化的影响</w:t>
      </w:r>
      <w:r>
        <w:rPr>
          <w:rFonts w:hint="eastAsia" w:asciiTheme="minorEastAsia" w:hAnsiTheme="minorEastAsia" w:eastAsiaTheme="minorEastAsia" w:cstheme="minorEastAsia"/>
          <w:sz w:val="21"/>
          <w:szCs w:val="21"/>
          <w:highlight w:val="none"/>
          <w:lang w:val="en-US" w:eastAsia="zh-CN"/>
        </w:rPr>
        <w:t>；</w:t>
      </w:r>
    </w:p>
    <w:p w14:paraId="4449EBC0">
      <w:pPr>
        <w:keepNext/>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3.合同总价包括：</w:t>
      </w:r>
      <w:r>
        <w:rPr>
          <w:rFonts w:hint="eastAsia" w:asciiTheme="minorEastAsia" w:hAnsiTheme="minorEastAsia" w:eastAsiaTheme="minorEastAsia" w:cstheme="minorEastAsia"/>
          <w:sz w:val="21"/>
          <w:szCs w:val="21"/>
          <w:highlight w:val="none"/>
          <w:u w:val="single"/>
          <w:lang w:val="en-US" w:eastAsia="zh-CN"/>
        </w:rPr>
        <w:t>完成本项目所需的技术服务费、税金等所有费用</w:t>
      </w:r>
      <w:r>
        <w:rPr>
          <w:rFonts w:hint="eastAsia" w:asciiTheme="minorEastAsia" w:hAnsiTheme="minorEastAsia" w:eastAsiaTheme="minorEastAsia" w:cstheme="minorEastAsia"/>
          <w:sz w:val="21"/>
          <w:szCs w:val="21"/>
          <w:highlight w:val="none"/>
          <w:lang w:val="en-US" w:eastAsia="zh-CN"/>
        </w:rPr>
        <w:t>。</w:t>
      </w:r>
    </w:p>
    <w:p w14:paraId="1B9F7DCB">
      <w:pPr>
        <w:pStyle w:val="3"/>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kern w:val="2"/>
          <w:sz w:val="21"/>
          <w:szCs w:val="21"/>
          <w:highlight w:val="none"/>
          <w:lang w:val="en-US" w:eastAsia="zh-CN" w:bidi="ar-SA"/>
        </w:rPr>
        <w:t>四、</w:t>
      </w:r>
      <w:r>
        <w:rPr>
          <w:rFonts w:hint="eastAsia" w:asciiTheme="minorEastAsia" w:hAnsiTheme="minorEastAsia" w:eastAsiaTheme="minorEastAsia" w:cstheme="minorEastAsia"/>
          <w:b/>
          <w:sz w:val="21"/>
          <w:szCs w:val="21"/>
        </w:rPr>
        <w:t>合同款支付</w:t>
      </w:r>
    </w:p>
    <w:p w14:paraId="798E5B1F">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sz w:val="21"/>
          <w:szCs w:val="21"/>
          <w:highlight w:val="none"/>
          <w:u w:val="single"/>
          <w:lang w:val="en-US" w:eastAsia="zh-CN"/>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lang w:eastAsia="zh-CN"/>
        </w:rPr>
        <w:t>付款</w:t>
      </w:r>
      <w:r>
        <w:rPr>
          <w:rFonts w:hint="eastAsia" w:asciiTheme="minorEastAsia" w:hAnsiTheme="minorEastAsia" w:eastAsiaTheme="minorEastAsia" w:cstheme="minorEastAsia"/>
          <w:sz w:val="21"/>
          <w:szCs w:val="21"/>
          <w:highlight w:val="none"/>
          <w:lang w:val="en-US" w:eastAsia="zh-CN"/>
        </w:rPr>
        <w:t>进度</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pacing w:val="-6"/>
          <w:kern w:val="2"/>
          <w:sz w:val="21"/>
          <w:szCs w:val="21"/>
          <w:highlight w:val="none"/>
          <w:u w:val="single"/>
          <w:lang w:val="zh-CN" w:eastAsia="zh-CN" w:bidi="ar-SA"/>
        </w:rPr>
        <w:t>年度国土变更调查、耕地资源质量分类更新监测和年内全部日常变更调查监测成果经自然资源部确认或</w:t>
      </w:r>
      <w:r>
        <w:rPr>
          <w:rFonts w:hint="eastAsia" w:asciiTheme="minorEastAsia" w:hAnsiTheme="minorEastAsia" w:eastAsiaTheme="minorEastAsia" w:cstheme="minorEastAsia"/>
          <w:spacing w:val="-6"/>
          <w:kern w:val="2"/>
          <w:sz w:val="21"/>
          <w:szCs w:val="21"/>
          <w:highlight w:val="none"/>
          <w:u w:val="single"/>
          <w:lang w:val="en-US" w:eastAsia="zh-CN" w:bidi="ar-SA"/>
        </w:rPr>
        <w:t>通过</w:t>
      </w:r>
      <w:r>
        <w:rPr>
          <w:rFonts w:hint="eastAsia" w:asciiTheme="minorEastAsia" w:hAnsiTheme="minorEastAsia" w:eastAsiaTheme="minorEastAsia" w:cstheme="minorEastAsia"/>
          <w:spacing w:val="-6"/>
          <w:kern w:val="2"/>
          <w:sz w:val="21"/>
          <w:szCs w:val="21"/>
          <w:highlight w:val="none"/>
          <w:u w:val="single"/>
          <w:lang w:val="zh-CN" w:eastAsia="zh-CN" w:bidi="ar-SA"/>
        </w:rPr>
        <w:t>自然资源部</w:t>
      </w:r>
      <w:r>
        <w:rPr>
          <w:rFonts w:hint="eastAsia" w:asciiTheme="minorEastAsia" w:hAnsiTheme="minorEastAsia" w:eastAsiaTheme="minorEastAsia" w:cstheme="minorEastAsia"/>
          <w:spacing w:val="-6"/>
          <w:kern w:val="2"/>
          <w:sz w:val="21"/>
          <w:szCs w:val="21"/>
          <w:highlight w:val="none"/>
          <w:u w:val="single"/>
          <w:lang w:val="en-US" w:eastAsia="zh-CN" w:bidi="ar-SA"/>
        </w:rPr>
        <w:t>审核后</w:t>
      </w:r>
      <w:r>
        <w:rPr>
          <w:rFonts w:hint="eastAsia" w:asciiTheme="minorEastAsia" w:hAnsiTheme="minorEastAsia" w:eastAsiaTheme="minorEastAsia" w:cstheme="minorEastAsia"/>
          <w:spacing w:val="-6"/>
          <w:kern w:val="2"/>
          <w:sz w:val="21"/>
          <w:szCs w:val="21"/>
          <w:highlight w:val="none"/>
          <w:u w:val="single"/>
          <w:lang w:val="zh-CN" w:eastAsia="zh-CN" w:bidi="ar-SA"/>
        </w:rPr>
        <w:t>，一次性支付合同总价款。</w:t>
      </w:r>
    </w:p>
    <w:p w14:paraId="4A5035FD">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pacing w:val="-6"/>
          <w:kern w:val="2"/>
          <w:sz w:val="21"/>
          <w:szCs w:val="21"/>
          <w:highlight w:val="none"/>
          <w:u w:val="singl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2</w:t>
      </w:r>
      <w:r>
        <w:rPr>
          <w:rFonts w:hint="eastAsia" w:asciiTheme="minorEastAsia" w:hAnsiTheme="minorEastAsia" w:eastAsiaTheme="minorEastAsia" w:cstheme="minorEastAsia"/>
          <w:sz w:val="21"/>
          <w:szCs w:val="21"/>
          <w:highlight w:val="none"/>
          <w:lang w:val="en-US" w:eastAsia="zh-CN"/>
        </w:rPr>
        <w:t>.</w:t>
      </w:r>
      <w:r>
        <w:rPr>
          <w:rFonts w:hint="eastAsia" w:asciiTheme="minorEastAsia" w:hAnsiTheme="minorEastAsia" w:eastAsiaTheme="minorEastAsia" w:cstheme="minorEastAsia"/>
          <w:kern w:val="2"/>
          <w:sz w:val="21"/>
          <w:szCs w:val="21"/>
          <w:highlight w:val="none"/>
          <w:lang w:val="en-US" w:eastAsia="zh-CN" w:bidi="ar-SA"/>
        </w:rPr>
        <w:t>结算方式：</w:t>
      </w:r>
      <w:r>
        <w:rPr>
          <w:rFonts w:hint="eastAsia" w:asciiTheme="minorEastAsia" w:hAnsiTheme="minorEastAsia" w:eastAsiaTheme="minorEastAsia" w:cstheme="minorEastAsia"/>
          <w:spacing w:val="-6"/>
          <w:kern w:val="2"/>
          <w:sz w:val="21"/>
          <w:szCs w:val="21"/>
          <w:highlight w:val="none"/>
          <w:u w:val="single"/>
          <w:lang w:val="en-US" w:eastAsia="zh-CN" w:bidi="ar-SA"/>
        </w:rPr>
        <w:t>由甲方负责结算，乙方根据合同条款按甲方要求开具正式发票交采购人。</w:t>
      </w:r>
    </w:p>
    <w:p w14:paraId="662C8C1E">
      <w:pPr>
        <w:pStyle w:val="3"/>
        <w:keepNext w:val="0"/>
        <w:keepLines w:val="0"/>
        <w:pageBreakBefore w:val="0"/>
        <w:widowControl w:val="0"/>
        <w:kinsoku/>
        <w:wordWrap/>
        <w:overflowPunct/>
        <w:topLinePunct w:val="0"/>
        <w:autoSpaceDE/>
        <w:autoSpaceDN/>
        <w:bidi w:val="0"/>
        <w:adjustRightInd/>
        <w:snapToGrid/>
        <w:spacing w:line="460" w:lineRule="exact"/>
        <w:ind w:firstLine="420" w:firstLineChars="200"/>
        <w:jc w:val="both"/>
        <w:textAlignment w:val="auto"/>
        <w:rPr>
          <w:rFonts w:hint="eastAsia" w:asciiTheme="minorEastAsia" w:hAnsiTheme="minorEastAsia" w:eastAsiaTheme="minorEastAsia" w:cstheme="minorEastAsia"/>
          <w:spacing w:val="-6"/>
          <w:kern w:val="2"/>
          <w:sz w:val="21"/>
          <w:szCs w:val="21"/>
          <w:highlight w:val="none"/>
          <w:u w:val="single"/>
          <w:lang w:val="en-US" w:eastAsia="zh-CN" w:bidi="ar-SA"/>
        </w:rPr>
      </w:pPr>
      <w:r>
        <w:rPr>
          <w:rFonts w:hint="eastAsia" w:asciiTheme="minorEastAsia" w:hAnsiTheme="minorEastAsia" w:eastAsiaTheme="minorEastAsia" w:cstheme="minorEastAsia"/>
          <w:kern w:val="2"/>
          <w:sz w:val="21"/>
          <w:szCs w:val="21"/>
          <w:highlight w:val="none"/>
          <w:u w:val="none"/>
          <w:lang w:val="en-US" w:eastAsia="zh-CN" w:bidi="ar-SA"/>
        </w:rPr>
        <w:t>3</w:t>
      </w:r>
      <w:r>
        <w:rPr>
          <w:rFonts w:hint="eastAsia" w:asciiTheme="minorEastAsia" w:hAnsiTheme="minorEastAsia" w:eastAsiaTheme="minorEastAsia" w:cstheme="minorEastAsia"/>
          <w:sz w:val="21"/>
          <w:szCs w:val="21"/>
          <w:highlight w:val="none"/>
          <w:lang w:val="en-US" w:eastAsia="zh-CN"/>
        </w:rPr>
        <w:t>.预期</w:t>
      </w:r>
      <w:r>
        <w:rPr>
          <w:rFonts w:hint="eastAsia" w:asciiTheme="minorEastAsia" w:hAnsiTheme="minorEastAsia" w:eastAsiaTheme="minorEastAsia" w:cstheme="minorEastAsia"/>
          <w:kern w:val="2"/>
          <w:sz w:val="21"/>
          <w:szCs w:val="21"/>
          <w:highlight w:val="none"/>
          <w:u w:val="none"/>
          <w:lang w:val="en-US" w:eastAsia="zh-CN" w:bidi="ar-SA"/>
        </w:rPr>
        <w:t>成果：</w:t>
      </w:r>
      <w:r>
        <w:rPr>
          <w:rFonts w:hint="eastAsia" w:asciiTheme="minorEastAsia" w:hAnsiTheme="minorEastAsia" w:eastAsiaTheme="minorEastAsia" w:cstheme="minorEastAsia"/>
          <w:spacing w:val="-6"/>
          <w:kern w:val="2"/>
          <w:sz w:val="21"/>
          <w:szCs w:val="21"/>
          <w:highlight w:val="none"/>
          <w:u w:val="single"/>
          <w:lang w:val="en-US" w:eastAsia="zh-CN" w:bidi="ar-SA"/>
        </w:rPr>
        <w:t>（1）数据库成果。包括更新后的市级数据库、各类统计汇总表等；</w:t>
      </w:r>
    </w:p>
    <w:p w14:paraId="6956745E">
      <w:pPr>
        <w:pStyle w:val="3"/>
        <w:keepNext w:val="0"/>
        <w:keepLines w:val="0"/>
        <w:pageBreakBefore w:val="0"/>
        <w:widowControl w:val="0"/>
        <w:kinsoku/>
        <w:wordWrap/>
        <w:overflowPunct/>
        <w:topLinePunct w:val="0"/>
        <w:autoSpaceDE/>
        <w:autoSpaceDN/>
        <w:bidi w:val="0"/>
        <w:adjustRightInd/>
        <w:snapToGrid/>
        <w:spacing w:line="460" w:lineRule="exact"/>
        <w:ind w:firstLine="198" w:firstLineChars="100"/>
        <w:jc w:val="both"/>
        <w:textAlignment w:val="auto"/>
        <w:rPr>
          <w:rFonts w:hint="eastAsia" w:asciiTheme="minorEastAsia" w:hAnsiTheme="minorEastAsia" w:eastAsiaTheme="minorEastAsia" w:cstheme="minorEastAsia"/>
          <w:spacing w:val="-6"/>
          <w:kern w:val="2"/>
          <w:sz w:val="21"/>
          <w:szCs w:val="21"/>
          <w:highlight w:val="none"/>
          <w:u w:val="single"/>
          <w:lang w:val="en-US" w:eastAsia="zh-CN" w:bidi="ar-SA"/>
        </w:rPr>
      </w:pPr>
      <w:r>
        <w:rPr>
          <w:rFonts w:hint="eastAsia" w:asciiTheme="minorEastAsia" w:hAnsiTheme="minorEastAsia" w:eastAsiaTheme="minorEastAsia" w:cstheme="minorEastAsia"/>
          <w:spacing w:val="-6"/>
          <w:kern w:val="2"/>
          <w:sz w:val="21"/>
          <w:szCs w:val="21"/>
          <w:highlight w:val="none"/>
          <w:u w:val="single"/>
          <w:lang w:val="en-US" w:eastAsia="zh-CN" w:bidi="ar-SA"/>
        </w:rPr>
        <w:t>（2）文字成果。包括土地利用变化情况分析报告；</w:t>
      </w:r>
    </w:p>
    <w:p w14:paraId="761CD30E">
      <w:pPr>
        <w:pStyle w:val="3"/>
        <w:keepNext w:val="0"/>
        <w:keepLines w:val="0"/>
        <w:pageBreakBefore w:val="0"/>
        <w:widowControl w:val="0"/>
        <w:kinsoku/>
        <w:wordWrap/>
        <w:overflowPunct/>
        <w:topLinePunct w:val="0"/>
        <w:autoSpaceDE/>
        <w:autoSpaceDN/>
        <w:bidi w:val="0"/>
        <w:adjustRightInd/>
        <w:snapToGrid/>
        <w:spacing w:line="460" w:lineRule="exact"/>
        <w:ind w:firstLine="198" w:firstLineChars="100"/>
        <w:jc w:val="both"/>
        <w:textAlignment w:val="auto"/>
        <w:rPr>
          <w:rFonts w:hint="eastAsia" w:asciiTheme="minorEastAsia" w:hAnsiTheme="minorEastAsia" w:eastAsiaTheme="minorEastAsia" w:cstheme="minorEastAsia"/>
          <w:spacing w:val="-6"/>
          <w:kern w:val="2"/>
          <w:sz w:val="21"/>
          <w:szCs w:val="21"/>
          <w:highlight w:val="none"/>
          <w:u w:val="single"/>
          <w:lang w:val="en-US" w:eastAsia="zh-CN" w:bidi="ar-SA"/>
        </w:rPr>
      </w:pPr>
      <w:r>
        <w:rPr>
          <w:rFonts w:hint="eastAsia" w:asciiTheme="minorEastAsia" w:hAnsiTheme="minorEastAsia" w:eastAsiaTheme="minorEastAsia" w:cstheme="minorEastAsia"/>
          <w:spacing w:val="-6"/>
          <w:kern w:val="2"/>
          <w:sz w:val="21"/>
          <w:szCs w:val="21"/>
          <w:highlight w:val="none"/>
          <w:u w:val="single"/>
          <w:lang w:val="en-US" w:eastAsia="zh-CN" w:bidi="ar-SA"/>
        </w:rPr>
        <w:t>（3）核查成果。市级汇总工作过程中，对县级成果开展并形成的核查检查资料等。</w:t>
      </w:r>
    </w:p>
    <w:p w14:paraId="0E8771DC">
      <w:pPr>
        <w:pStyle w:val="3"/>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b/>
          <w:kern w:val="2"/>
          <w:sz w:val="21"/>
          <w:szCs w:val="21"/>
          <w:highlight w:val="none"/>
          <w:lang w:val="en-US" w:eastAsia="zh-CN" w:bidi="ar-SA"/>
        </w:rPr>
      </w:pPr>
      <w:r>
        <w:rPr>
          <w:rFonts w:hint="eastAsia" w:asciiTheme="minorEastAsia" w:hAnsiTheme="minorEastAsia" w:eastAsiaTheme="minorEastAsia" w:cstheme="minorEastAsia"/>
          <w:b/>
          <w:kern w:val="2"/>
          <w:sz w:val="21"/>
          <w:szCs w:val="21"/>
          <w:highlight w:val="none"/>
          <w:lang w:val="en-US" w:eastAsia="zh-CN" w:bidi="ar-SA"/>
        </w:rPr>
        <w:t>五、验收标准</w:t>
      </w:r>
    </w:p>
    <w:p w14:paraId="44D4F802">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Theme="minorEastAsia" w:hAnsiTheme="minorEastAsia" w:eastAsiaTheme="minorEastAsia" w:cstheme="minorEastAsia"/>
          <w:kern w:val="2"/>
          <w:sz w:val="21"/>
          <w:szCs w:val="21"/>
          <w:lang w:val="zh-CN" w:eastAsia="zh-CN" w:bidi="ar-SA"/>
        </w:rPr>
      </w:pPr>
      <w:r>
        <w:rPr>
          <w:rFonts w:hint="eastAsia" w:asciiTheme="minorEastAsia" w:hAnsiTheme="minorEastAsia" w:eastAsiaTheme="minorEastAsia" w:cstheme="minorEastAsia"/>
          <w:kern w:val="2"/>
          <w:sz w:val="21"/>
          <w:szCs w:val="21"/>
          <w:lang w:val="zh-CN" w:eastAsia="zh-CN" w:bidi="ar-SA"/>
        </w:rPr>
        <w:t>根据自然资源部、陕西省自然资源厅</w:t>
      </w:r>
      <w:r>
        <w:rPr>
          <w:rFonts w:hint="eastAsia" w:asciiTheme="minorEastAsia" w:hAnsiTheme="minorEastAsia" w:eastAsiaTheme="minorEastAsia" w:cstheme="minorEastAsia"/>
          <w:kern w:val="2"/>
          <w:sz w:val="21"/>
          <w:szCs w:val="21"/>
          <w:lang w:val="en-US" w:eastAsia="zh-CN" w:bidi="ar-SA"/>
        </w:rPr>
        <w:t>对年度</w:t>
      </w:r>
      <w:r>
        <w:rPr>
          <w:rFonts w:hint="eastAsia" w:asciiTheme="minorEastAsia" w:hAnsiTheme="minorEastAsia" w:eastAsiaTheme="minorEastAsia" w:cstheme="minorEastAsia"/>
          <w:kern w:val="2"/>
          <w:sz w:val="21"/>
          <w:szCs w:val="21"/>
          <w:lang w:val="zh-CN" w:eastAsia="zh-CN" w:bidi="ar-SA"/>
        </w:rPr>
        <w:t>国土变更调查、耕地资源质量分类更新监测和日常变更调查监测要求，成果</w:t>
      </w:r>
      <w:r>
        <w:rPr>
          <w:rFonts w:hint="eastAsia" w:asciiTheme="minorEastAsia" w:hAnsiTheme="minorEastAsia" w:eastAsiaTheme="minorEastAsia" w:cstheme="minorEastAsia"/>
          <w:kern w:val="2"/>
          <w:sz w:val="21"/>
          <w:szCs w:val="21"/>
          <w:lang w:val="en-US" w:eastAsia="zh-CN" w:bidi="ar-SA"/>
        </w:rPr>
        <w:t>经</w:t>
      </w:r>
      <w:r>
        <w:rPr>
          <w:rFonts w:hint="eastAsia" w:asciiTheme="minorEastAsia" w:hAnsiTheme="minorEastAsia" w:eastAsiaTheme="minorEastAsia" w:cstheme="minorEastAsia"/>
          <w:kern w:val="2"/>
          <w:sz w:val="21"/>
          <w:szCs w:val="21"/>
          <w:lang w:val="zh-CN" w:eastAsia="zh-CN" w:bidi="ar-SA"/>
        </w:rPr>
        <w:t>自然资源部确认或</w:t>
      </w:r>
      <w:r>
        <w:rPr>
          <w:rFonts w:hint="eastAsia" w:asciiTheme="minorEastAsia" w:hAnsiTheme="minorEastAsia" w:eastAsiaTheme="minorEastAsia" w:cstheme="minorEastAsia"/>
          <w:kern w:val="2"/>
          <w:sz w:val="21"/>
          <w:szCs w:val="21"/>
          <w:lang w:val="en-US" w:eastAsia="zh-CN" w:bidi="ar-SA"/>
        </w:rPr>
        <w:t>通过</w:t>
      </w:r>
      <w:r>
        <w:rPr>
          <w:rFonts w:hint="eastAsia" w:asciiTheme="minorEastAsia" w:hAnsiTheme="minorEastAsia" w:eastAsiaTheme="minorEastAsia" w:cstheme="minorEastAsia"/>
          <w:kern w:val="2"/>
          <w:sz w:val="21"/>
          <w:szCs w:val="21"/>
          <w:lang w:val="zh-CN" w:eastAsia="zh-CN" w:bidi="ar-SA"/>
        </w:rPr>
        <w:t>自然资源部</w:t>
      </w:r>
      <w:r>
        <w:rPr>
          <w:rFonts w:hint="eastAsia" w:asciiTheme="minorEastAsia" w:hAnsiTheme="minorEastAsia" w:eastAsiaTheme="minorEastAsia" w:cstheme="minorEastAsia"/>
          <w:kern w:val="2"/>
          <w:sz w:val="21"/>
          <w:szCs w:val="21"/>
          <w:lang w:val="en-US" w:eastAsia="zh-CN" w:bidi="ar-SA"/>
        </w:rPr>
        <w:t>审核通过</w:t>
      </w:r>
      <w:r>
        <w:rPr>
          <w:rFonts w:hint="eastAsia" w:asciiTheme="minorEastAsia" w:hAnsiTheme="minorEastAsia" w:eastAsiaTheme="minorEastAsia" w:cstheme="minorEastAsia"/>
          <w:kern w:val="2"/>
          <w:sz w:val="21"/>
          <w:szCs w:val="21"/>
          <w:lang w:val="zh-CN" w:eastAsia="zh-CN" w:bidi="ar-SA"/>
        </w:rPr>
        <w:t>。</w:t>
      </w:r>
    </w:p>
    <w:p w14:paraId="3136BE9D">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b/>
          <w:kern w:val="2"/>
          <w:sz w:val="21"/>
          <w:szCs w:val="21"/>
          <w:highlight w:val="none"/>
          <w:lang w:val="en-US" w:eastAsia="zh-CN" w:bidi="ar-SA"/>
        </w:rPr>
      </w:pPr>
      <w:r>
        <w:rPr>
          <w:rFonts w:hint="eastAsia" w:asciiTheme="minorEastAsia" w:hAnsiTheme="minorEastAsia" w:eastAsiaTheme="minorEastAsia" w:cstheme="minorEastAsia"/>
          <w:b/>
          <w:kern w:val="2"/>
          <w:sz w:val="21"/>
          <w:szCs w:val="21"/>
          <w:highlight w:val="none"/>
          <w:lang w:val="en-US" w:eastAsia="zh-CN" w:bidi="ar-SA"/>
        </w:rPr>
        <w:t>六、甲方的权利与义务</w:t>
      </w:r>
    </w:p>
    <w:p w14:paraId="4AAA6E31">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lang w:eastAsia="zh-CN"/>
        </w:rPr>
        <w:t>甲方有权对合同规定范围内乙方的服务行为进行监督和检查，拥有监管权。有权核对乙方提供服务所配备的人员数量。对甲方认为不合理的部分有权下达整改通知书，并要求乙方限期整改；</w:t>
      </w:r>
    </w:p>
    <w:p w14:paraId="6159D83C">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lang w:eastAsia="zh-CN"/>
        </w:rPr>
        <w:t>甲方有权负责检查监督乙方管理工作的实施及制度的执行情况，甲方负责人（姓名：</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lang w:val="en-US" w:eastAsia="zh-CN"/>
        </w:rPr>
        <w:t>；身份证号：</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eastAsia="zh-CN"/>
        </w:rPr>
        <w:t>）；</w:t>
      </w:r>
    </w:p>
    <w:p w14:paraId="53860194">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lang w:eastAsia="zh-CN"/>
        </w:rPr>
        <w:t>甲方应根据本合同规定，按时向乙方支付应付服务费用；</w:t>
      </w:r>
    </w:p>
    <w:p w14:paraId="064CFD8A">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lang w:eastAsia="zh-CN"/>
        </w:rPr>
        <w:t>国家法律、法规所规定由甲方承担的其它责任。</w:t>
      </w:r>
    </w:p>
    <w:p w14:paraId="11DBEA7B">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b/>
          <w:kern w:val="2"/>
          <w:sz w:val="21"/>
          <w:szCs w:val="21"/>
          <w:highlight w:val="none"/>
          <w:lang w:val="en-US" w:eastAsia="zh-CN" w:bidi="ar-SA"/>
        </w:rPr>
      </w:pPr>
      <w:r>
        <w:rPr>
          <w:rFonts w:hint="eastAsia" w:asciiTheme="minorEastAsia" w:hAnsiTheme="minorEastAsia" w:eastAsiaTheme="minorEastAsia" w:cstheme="minorEastAsia"/>
          <w:b/>
          <w:kern w:val="2"/>
          <w:sz w:val="21"/>
          <w:szCs w:val="21"/>
          <w:highlight w:val="none"/>
          <w:lang w:val="en-US" w:eastAsia="zh-CN" w:bidi="ar-SA"/>
        </w:rPr>
        <w:t>七、乙方的权利与义务</w:t>
      </w:r>
    </w:p>
    <w:p w14:paraId="002087CA">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lang w:eastAsia="zh-CN"/>
        </w:rPr>
        <w:t>认真完成甲方规定的服务内容，确保</w:t>
      </w:r>
      <w:r>
        <w:rPr>
          <w:rFonts w:hint="eastAsia" w:asciiTheme="minorEastAsia" w:hAnsiTheme="minorEastAsia" w:eastAsiaTheme="minorEastAsia" w:cstheme="minorEastAsia"/>
          <w:sz w:val="21"/>
          <w:szCs w:val="21"/>
          <w:highlight w:val="none"/>
          <w:lang w:val="en-US" w:eastAsia="zh-CN"/>
        </w:rPr>
        <w:t>质量，达到甲方满意</w:t>
      </w:r>
      <w:r>
        <w:rPr>
          <w:rFonts w:hint="eastAsia" w:asciiTheme="minorEastAsia" w:hAnsiTheme="minorEastAsia" w:eastAsiaTheme="minorEastAsia" w:cstheme="minorEastAsia"/>
          <w:sz w:val="21"/>
          <w:szCs w:val="21"/>
          <w:highlight w:val="none"/>
          <w:lang w:eastAsia="zh-CN"/>
        </w:rPr>
        <w:t>；</w:t>
      </w:r>
    </w:p>
    <w:p w14:paraId="20E19768">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lang w:eastAsia="zh-CN"/>
        </w:rPr>
        <w:t>乙方委派项目负责人（姓名：</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lang w:val="en-US" w:eastAsia="zh-CN"/>
        </w:rPr>
        <w:t>；身份证号：</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eastAsia="zh-CN"/>
        </w:rPr>
        <w:t>），负责项目期间的全面管理及项目成果资料交接；</w:t>
      </w:r>
    </w:p>
    <w:p w14:paraId="6D615310">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lang w:eastAsia="zh-CN"/>
        </w:rPr>
        <w:t>乙方员工在工作期间发生一切事故、伤亡以及其他损失由乙方自行承担。因乙方自身原因实施服务过程中造成的甲方损失，乙方应承担赔偿责任；</w:t>
      </w:r>
    </w:p>
    <w:p w14:paraId="65F91B38">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pacing w:val="-6"/>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pacing w:val="-6"/>
          <w:sz w:val="21"/>
          <w:szCs w:val="21"/>
          <w:highlight w:val="none"/>
          <w:lang w:eastAsia="zh-CN"/>
        </w:rPr>
        <w:t>本项目知识产权归甲方所有，乙方应保证甲方不承担任何涉及知识产权引发的法律责任；</w:t>
      </w:r>
    </w:p>
    <w:p w14:paraId="55B638C9">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asciiTheme="minorEastAsia" w:hAnsiTheme="minorEastAsia" w:eastAsiaTheme="minorEastAsia" w:cstheme="minorEastAsia"/>
          <w:spacing w:val="-11"/>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lang w:eastAsia="zh-CN"/>
        </w:rPr>
        <w:t>乙</w:t>
      </w:r>
      <w:r>
        <w:rPr>
          <w:rFonts w:hint="eastAsia" w:asciiTheme="minorEastAsia" w:hAnsiTheme="minorEastAsia" w:eastAsiaTheme="minorEastAsia" w:cstheme="minorEastAsia"/>
          <w:spacing w:val="-11"/>
          <w:sz w:val="21"/>
          <w:szCs w:val="21"/>
          <w:highlight w:val="none"/>
          <w:lang w:eastAsia="zh-CN"/>
        </w:rPr>
        <w:t>方应及时向甲方通告本项目服务范围内有关服务的重大事项，及时配合处理各种突发事件；</w:t>
      </w:r>
    </w:p>
    <w:p w14:paraId="1895F26F">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lang w:eastAsia="zh-CN"/>
        </w:rPr>
        <w:t>乙方接受项目行业管理部门及政府有关部门的指导，接受甲方的监督；</w:t>
      </w:r>
    </w:p>
    <w:p w14:paraId="25447552">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lang w:eastAsia="zh-CN"/>
        </w:rPr>
        <w:t>乙方应采取必要措施，按照部、省有关保密规定和甲方协议要求，对有关数据成果或过程数据成果等内容进行严格保密。项目完成后，乙方应将项目开展过程中从甲方领取的有关资料和数据，工作过程中形成的有关资料数据，以及最终成果资料数据全部交回甲方，不得外传、拷贝或用于其他与本项目无关的活动。乙方未严格遵守上述条款造成泄密失密的，乙方应承担相应责任。</w:t>
      </w:r>
    </w:p>
    <w:p w14:paraId="6A0BCDEB">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lang w:eastAsia="zh-CN"/>
        </w:rPr>
        <w:t>国家法律、法规所规定由乙方承担的其它责任。</w:t>
      </w:r>
    </w:p>
    <w:p w14:paraId="401DFC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kern w:val="2"/>
          <w:sz w:val="21"/>
          <w:szCs w:val="21"/>
          <w:highlight w:val="none"/>
          <w:lang w:val="en-US" w:eastAsia="zh-CN" w:bidi="ar-SA"/>
        </w:rPr>
      </w:pPr>
      <w:r>
        <w:rPr>
          <w:rFonts w:hint="eastAsia" w:asciiTheme="minorEastAsia" w:hAnsiTheme="minorEastAsia" w:eastAsiaTheme="minorEastAsia" w:cstheme="minorEastAsia"/>
          <w:b/>
          <w:kern w:val="2"/>
          <w:sz w:val="21"/>
          <w:szCs w:val="21"/>
          <w:highlight w:val="none"/>
          <w:lang w:val="en-US" w:eastAsia="zh-CN" w:bidi="ar-SA"/>
        </w:rPr>
        <w:t>八、违约责任及协议的解除</w:t>
      </w:r>
    </w:p>
    <w:bookmarkEnd w:id="2"/>
    <w:bookmarkEnd w:id="3"/>
    <w:p w14:paraId="19877F0E">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1.甲乙双方必须遵守本合同并执行合同中的各项规定，保证本合同的正常履行。</w:t>
      </w:r>
    </w:p>
    <w:p w14:paraId="7BEB7E34">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D982E46">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3.甲方未给乙方提供必要的工作条件而造成停窝工时，甲方应付给乙方停窝工费，停窝工费按合同约定的平均工日产值计算，同时工期顺延。</w:t>
      </w:r>
    </w:p>
    <w:p w14:paraId="36C1A43F">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4.双方本着友好合作的态度,对合同履行过程中发生的纠纷应及时协商解决，协商不成的，向采购人所在地有管辖权的人民法院诉讼解决。</w:t>
      </w:r>
    </w:p>
    <w:p w14:paraId="56674D78">
      <w:pPr>
        <w:keepNext/>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5.在合同有效期内，任何一方因不可抗力事件导致不能履行合同，则合同履行期可延长，其延长期与不可抗力影响期相同。</w:t>
      </w:r>
    </w:p>
    <w:p w14:paraId="096D218C">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lang w:eastAsia="zh-CN"/>
        </w:rPr>
        <w:t>合同一经签订，</w:t>
      </w:r>
      <w:r>
        <w:rPr>
          <w:rFonts w:hint="eastAsia" w:asciiTheme="minorEastAsia" w:hAnsiTheme="minorEastAsia" w:eastAsiaTheme="minorEastAsia" w:cstheme="minorEastAsia"/>
          <w:sz w:val="21"/>
          <w:szCs w:val="21"/>
          <w:highlight w:val="none"/>
          <w:lang w:val="en-US" w:eastAsia="zh-CN"/>
        </w:rPr>
        <w:t>甲乙双方</w:t>
      </w:r>
      <w:r>
        <w:rPr>
          <w:rFonts w:hint="eastAsia" w:asciiTheme="minorEastAsia" w:hAnsiTheme="minorEastAsia" w:eastAsiaTheme="minorEastAsia" w:cstheme="minorEastAsia"/>
          <w:sz w:val="21"/>
          <w:szCs w:val="21"/>
          <w:highlight w:val="none"/>
          <w:lang w:eastAsia="zh-CN"/>
        </w:rPr>
        <w:t>不得擅自变更、中止或者终止合同。对确需变更、调整或者中止、终止合同的，应按规定履行相应的手续</w:t>
      </w:r>
    </w:p>
    <w:p w14:paraId="06F05BF4">
      <w:pPr>
        <w:keepNext w:val="0"/>
        <w:keepLines w:val="0"/>
        <w:pageBreakBefore w:val="0"/>
        <w:widowControl w:val="0"/>
        <w:tabs>
          <w:tab w:val="left" w:pos="980"/>
        </w:tabs>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val="0"/>
          <w:color w:val="000000"/>
          <w:sz w:val="21"/>
          <w:szCs w:val="21"/>
          <w:lang w:val="en-US" w:eastAsia="zh-CN"/>
        </w:rPr>
        <w:t>九</w:t>
      </w:r>
      <w:r>
        <w:rPr>
          <w:rFonts w:hint="eastAsia" w:asciiTheme="minorEastAsia" w:hAnsiTheme="minorEastAsia" w:eastAsiaTheme="minorEastAsia" w:cstheme="minorEastAsia"/>
          <w:b/>
          <w:bCs w:val="0"/>
          <w:color w:val="000000"/>
          <w:sz w:val="21"/>
          <w:szCs w:val="21"/>
        </w:rPr>
        <w:t>、</w:t>
      </w:r>
      <w:r>
        <w:rPr>
          <w:rFonts w:hint="eastAsia" w:asciiTheme="minorEastAsia" w:hAnsiTheme="minorEastAsia" w:eastAsiaTheme="minorEastAsia" w:cstheme="minorEastAsia"/>
          <w:color w:val="000000"/>
          <w:sz w:val="21"/>
          <w:szCs w:val="21"/>
        </w:rPr>
        <w:t>本合同一式</w:t>
      </w:r>
      <w:r>
        <w:rPr>
          <w:rFonts w:hint="eastAsia" w:asciiTheme="minorEastAsia" w:hAnsiTheme="minorEastAsia" w:eastAsiaTheme="minorEastAsia" w:cstheme="minorEastAsia"/>
          <w:color w:val="000000"/>
          <w:sz w:val="21"/>
          <w:szCs w:val="21"/>
          <w:u w:val="single"/>
          <w:lang w:val="en-US" w:eastAsia="zh-CN"/>
        </w:rPr>
        <w:t xml:space="preserve">   </w:t>
      </w:r>
      <w:r>
        <w:rPr>
          <w:rFonts w:hint="eastAsia" w:asciiTheme="minorEastAsia" w:hAnsiTheme="minorEastAsia" w:eastAsiaTheme="minorEastAsia" w:cstheme="minorEastAsia"/>
          <w:color w:val="000000"/>
          <w:sz w:val="21"/>
          <w:szCs w:val="21"/>
        </w:rPr>
        <w:t>份，甲方、乙方、采购代理机构各执</w:t>
      </w:r>
      <w:r>
        <w:rPr>
          <w:rFonts w:hint="eastAsia" w:asciiTheme="minorEastAsia" w:hAnsiTheme="minorEastAsia" w:eastAsiaTheme="minorEastAsia" w:cstheme="minorEastAsia"/>
          <w:color w:val="000000"/>
          <w:sz w:val="21"/>
          <w:szCs w:val="21"/>
          <w:u w:val="single"/>
          <w:lang w:val="en-US" w:eastAsia="zh-CN"/>
        </w:rPr>
        <w:t xml:space="preserve">    </w:t>
      </w:r>
      <w:r>
        <w:rPr>
          <w:rFonts w:hint="eastAsia" w:asciiTheme="minorEastAsia" w:hAnsiTheme="minorEastAsia" w:eastAsiaTheme="minorEastAsia" w:cstheme="minorEastAsia"/>
          <w:color w:val="000000"/>
          <w:sz w:val="21"/>
          <w:szCs w:val="21"/>
        </w:rPr>
        <w:t>份。签字盖章后生效，合同执行完毕自动失效（合同的服务承诺则长期有效）。</w:t>
      </w:r>
    </w:p>
    <w:p w14:paraId="50CF462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十、</w:t>
      </w:r>
      <w:r>
        <w:rPr>
          <w:rFonts w:hint="eastAsia" w:asciiTheme="minorEastAsia" w:hAnsiTheme="minorEastAsia" w:eastAsiaTheme="minorEastAsia" w:cstheme="minorEastAsia"/>
          <w:color w:val="000000"/>
          <w:sz w:val="21"/>
          <w:szCs w:val="21"/>
        </w:rPr>
        <w:t>其它（在合同中具体明确）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260"/>
      </w:tblGrid>
      <w:tr w14:paraId="636E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3DA74FDE">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  方</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5548C07A">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  方</w:t>
            </w:r>
          </w:p>
        </w:tc>
      </w:tr>
      <w:tr w14:paraId="5A3A7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2DD3B727">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（盖章）</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46438EC7">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成交供应商全称（盖章）</w:t>
            </w:r>
          </w:p>
        </w:tc>
      </w:tr>
      <w:tr w14:paraId="1CB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5EDA2764">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53F097A">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w:t>
            </w:r>
          </w:p>
        </w:tc>
      </w:tr>
      <w:tr w14:paraId="6EA6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0723B669">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E990B00">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w:t>
            </w:r>
          </w:p>
        </w:tc>
      </w:tr>
      <w:tr w14:paraId="03EE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vMerge w:val="restart"/>
            <w:tcBorders>
              <w:top w:val="single" w:color="auto" w:sz="4" w:space="0"/>
              <w:left w:val="single" w:color="auto" w:sz="4" w:space="0"/>
              <w:right w:val="single" w:color="auto" w:sz="4" w:space="0"/>
            </w:tcBorders>
            <w:noWrap w:val="0"/>
            <w:vAlign w:val="center"/>
          </w:tcPr>
          <w:p w14:paraId="31D90ACE">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代表</w:t>
            </w:r>
            <w:r>
              <w:rPr>
                <w:rFonts w:hint="eastAsia" w:asciiTheme="minorEastAsia" w:hAnsiTheme="minorEastAsia" w:eastAsiaTheme="minorEastAsia" w:cstheme="minorEastAsia"/>
                <w:sz w:val="21"/>
                <w:szCs w:val="21"/>
                <w:lang w:eastAsia="zh-CN"/>
              </w:rPr>
              <w:t>人</w:t>
            </w:r>
            <w:r>
              <w:rPr>
                <w:rFonts w:hint="eastAsia" w:asciiTheme="minorEastAsia" w:hAnsiTheme="minorEastAsia" w:eastAsiaTheme="minorEastAsia" w:cstheme="minorEastAsia"/>
                <w:sz w:val="21"/>
                <w:szCs w:val="21"/>
              </w:rPr>
              <w:t>：（签字）</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7F7DB802">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w:t>
            </w:r>
          </w:p>
        </w:tc>
      </w:tr>
      <w:tr w14:paraId="4840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vMerge w:val="continue"/>
            <w:tcBorders>
              <w:left w:val="single" w:color="auto" w:sz="4" w:space="0"/>
              <w:bottom w:val="single" w:color="auto" w:sz="4" w:space="0"/>
              <w:right w:val="single" w:color="auto" w:sz="4" w:space="0"/>
            </w:tcBorders>
            <w:noWrap w:val="0"/>
            <w:vAlign w:val="center"/>
          </w:tcPr>
          <w:p w14:paraId="17162F62">
            <w:pPr>
              <w:spacing w:line="360" w:lineRule="auto"/>
              <w:jc w:val="left"/>
              <w:rPr>
                <w:rFonts w:hint="eastAsia" w:asciiTheme="minorEastAsia" w:hAnsiTheme="minorEastAsia" w:eastAsiaTheme="minorEastAsia" w:cstheme="minorEastAsia"/>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7A50766C">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代表</w:t>
            </w:r>
            <w:r>
              <w:rPr>
                <w:rFonts w:hint="eastAsia" w:asciiTheme="minorEastAsia" w:hAnsiTheme="minorEastAsia" w:eastAsiaTheme="minorEastAsia" w:cstheme="minorEastAsia"/>
                <w:sz w:val="21"/>
                <w:szCs w:val="21"/>
                <w:lang w:eastAsia="zh-CN"/>
              </w:rPr>
              <w:t>人</w:t>
            </w:r>
            <w:r>
              <w:rPr>
                <w:rFonts w:hint="eastAsia" w:asciiTheme="minorEastAsia" w:hAnsiTheme="minorEastAsia" w:eastAsiaTheme="minorEastAsia" w:cstheme="minorEastAsia"/>
                <w:sz w:val="21"/>
                <w:szCs w:val="21"/>
              </w:rPr>
              <w:t>：（签字）</w:t>
            </w:r>
          </w:p>
        </w:tc>
      </w:tr>
      <w:tr w14:paraId="2D89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7D577F69">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42EEAD9">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w:t>
            </w:r>
          </w:p>
        </w:tc>
      </w:tr>
      <w:tr w14:paraId="212E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152ABC29">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传真：</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7490CD76">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传真：</w:t>
            </w:r>
          </w:p>
        </w:tc>
      </w:tr>
      <w:tr w14:paraId="672C3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538F8EDE">
            <w:pPr>
              <w:spacing w:line="360" w:lineRule="auto"/>
              <w:jc w:val="left"/>
              <w:rPr>
                <w:rFonts w:hint="eastAsia" w:asciiTheme="minorEastAsia" w:hAnsiTheme="minorEastAsia" w:eastAsiaTheme="minorEastAsia" w:cstheme="minorEastAsia"/>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25449EEB">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w:t>
            </w:r>
          </w:p>
        </w:tc>
      </w:tr>
      <w:tr w14:paraId="31E51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73182EF1">
            <w:pPr>
              <w:spacing w:line="360" w:lineRule="auto"/>
              <w:jc w:val="left"/>
              <w:rPr>
                <w:rFonts w:hint="eastAsia" w:asciiTheme="minorEastAsia" w:hAnsiTheme="minorEastAsia" w:eastAsiaTheme="minorEastAsia" w:cstheme="minorEastAsia"/>
                <w:sz w:val="21"/>
                <w:szCs w:val="21"/>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6E71345B">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w:t>
            </w:r>
          </w:p>
        </w:tc>
      </w:tr>
      <w:tr w14:paraId="3870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4259" w:type="dxa"/>
            <w:tcBorders>
              <w:top w:val="single" w:color="auto" w:sz="4" w:space="0"/>
              <w:left w:val="single" w:color="auto" w:sz="4" w:space="0"/>
              <w:bottom w:val="single" w:color="auto" w:sz="4" w:space="0"/>
              <w:right w:val="single" w:color="auto" w:sz="4" w:space="0"/>
            </w:tcBorders>
            <w:noWrap w:val="0"/>
            <w:vAlign w:val="center"/>
          </w:tcPr>
          <w:p w14:paraId="79142E45">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日期：  年   月   日</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01F9AE4">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日期：  年   月   日</w:t>
            </w:r>
          </w:p>
        </w:tc>
      </w:tr>
    </w:tbl>
    <w:p w14:paraId="4858409C">
      <w:pPr>
        <w:rPr>
          <w:rFonts w:hint="eastAsia" w:asciiTheme="minorEastAsia" w:hAnsiTheme="minorEastAsia" w:eastAsiaTheme="minorEastAsia" w:cstheme="minorEastAsia"/>
          <w:sz w:val="21"/>
          <w:szCs w:val="21"/>
        </w:rPr>
      </w:pPr>
    </w:p>
    <w:p w14:paraId="090F7A73"/>
    <w:sectPr>
      <w:headerReference r:id="rId5" w:type="default"/>
      <w:footerReference r:id="rId6" w:type="default"/>
      <w:pgSz w:w="11900" w:h="16840"/>
      <w:pgMar w:top="1440" w:right="1247" w:bottom="1440" w:left="1247"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3E26E">
    <w:pPr>
      <w:spacing w:line="173" w:lineRule="auto"/>
      <w:ind w:left="3694"/>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3094990</wp:posOffset>
              </wp:positionH>
              <wp:positionV relativeFrom="paragraph">
                <wp:posOffset>-931545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B6757D">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43.7pt;margin-top:-73.35pt;height:144pt;width:144pt;mso-position-horizontal-relative:margin;mso-wrap-style:none;z-index:251659264;mso-width-relative:page;mso-height-relative:page;" filled="f" stroked="f" coordsize="21600,21600" o:gfxdata="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Mpd0HYAAAADAEAAA8AAAAAAAAAAQAgAAAAIgAAAGRycy9kb3ducmV2Lnht&#10;bFBLAQIUABQAAAAIAIdO4kDhgNOOMgIAAGEEAAAOAAAAAAAAAAEAIAAAACcBAABkcnMvZTJvRG9j&#10;LnhtbFBLBQYAAAAABgAGAFkBAADLBQAAAAA=&#10;">
              <v:fill on="f" focussize="0,0"/>
              <v:stroke on="f" weight="0.5pt"/>
              <v:imagedata o:title=""/>
              <o:lock v:ext="edit" aspectratio="f"/>
              <v:textbox inset="0mm,0mm,0mm,0mm" style="mso-fit-shape-to-text:t;">
                <w:txbxContent>
                  <w:p w14:paraId="69B6757D">
                    <w:pPr>
                      <w:pStyle w:val="4"/>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BA124">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52297"/>
    <w:rsid w:val="56A619D5"/>
    <w:rsid w:val="5AB20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2025-07-14T15:39:29Z</dcterms:created>
  <dc:creator>小郭</dc:creator>
  <cp:lastModifiedBy>小郭</cp:lastModifiedBy>
  <dcterms:modified xsi:type="dcterms:W3CDTF">2025-07-14T15:40:37Z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eyJoZGlkIjoiZjU5OTc0NjRlMDg0YjAzMjU1ZTJmMWFmNWQwZmNmYTcifQ==</vt:lpwstr>
  </property>
  <property fmtid="{D5CDD505-2E9C-101B-9397-08002B2CF9AE}" pid="4" name="ICV">
    <vt:lpwstr>AEDCB1A3D5914093A20F9B9EE390CF3E_12</vt:lpwstr>
  </property>
</Properties>
</file>