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版本号：ZCSP-渭南市-2025-0067520250801001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渭南市应急避难场所专项规划编制项目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ZCSP-渭南市-2025-00675</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渭南市应急避难场所专项规划编制项目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渭南市应急避难场所专项规划编制项目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渭南市应急避难场所专项规划编制项目：结合市政基础设施和周边环境，合理规划布局，编制形成我市应急避难场所专项规划，具体详见竞争性磋商文件。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采购包1（渭南市应急避难场所专项规划编制项目）：属于专门面向中小企业采购。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2、资质证书：供应商需具有行业主管部门颁发的城乡规划编制乙级（含乙级）及以上资质；</w:t>
      </w:r>
    </w:p>
    <w:p>
      <w:pPr>
        <w:pStyle w:val="null3"/>
      </w:pPr>
      <w:r>
        <w:rPr>
          <w:rFonts w:ascii="仿宋_GB2312" w:hAnsi="仿宋_GB2312" w:cs="仿宋_GB2312" w:eastAsia="仿宋_GB2312"/>
        </w:rPr>
        <w:t>3、拟派项目负责人：拟派项目负责人须具有城乡规划专业高级（含高级）及以上职称及具备国家注册城乡规划师执业资格；</w:t>
      </w:r>
    </w:p>
    <w:p>
      <w:pPr>
        <w:pStyle w:val="null3"/>
      </w:pPr>
      <w:r>
        <w:rPr>
          <w:rFonts w:ascii="仿宋_GB2312" w:hAnsi="仿宋_GB2312" w:cs="仿宋_GB2312" w:eastAsia="仿宋_GB2312"/>
        </w:rPr>
        <w:t>4、财务状况报表：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5、税收缴纳证明：提供供应商2024年至今任意一个月已缴纳的完税凭证或税务机关开具的完税证明（任意税种），依法免税的单位应提供相关证明材料；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6、社会保障资金缴纳证明：提供供应商2024年至今任意一个月的社会保障资金缴存单据或社保机构开具的社会保险参保缴费情况证明。依法不需要缴纳社会保障资金的供应商应提供相关证明文件；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7、声明书：提供具有履行本合同所必需的设备和专业技术能力的声明；</w:t>
      </w:r>
    </w:p>
    <w:p>
      <w:pPr>
        <w:pStyle w:val="null3"/>
      </w:pPr>
      <w:r>
        <w:rPr>
          <w:rFonts w:ascii="仿宋_GB2312" w:hAnsi="仿宋_GB2312" w:cs="仿宋_GB2312" w:eastAsia="仿宋_GB2312"/>
        </w:rPr>
        <w:t>8、声明书：出具参加政府采购活动前3年内在经营活动中没有重大违法记录的书面声明；</w:t>
      </w:r>
    </w:p>
    <w:p>
      <w:pPr>
        <w:pStyle w:val="null3"/>
      </w:pPr>
      <w:r>
        <w:rPr>
          <w:rFonts w:ascii="仿宋_GB2312" w:hAnsi="仿宋_GB2312" w:cs="仿宋_GB2312" w:eastAsia="仿宋_GB2312"/>
        </w:rPr>
        <w:t>9、法定代表人授权书：法定代表人授权书及被授权人身份证(法定代表人直接参加投标，须提交其身份证复印件及法定代表人身份证明)；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10、信用截图：供应商不得为“信用中国”网站(www.creditchina.gov.cn)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11、联合体投标：本项目不接受联合体投标。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8009或15332361726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w:t>
            </w:r>
          </w:p>
          <w:p>
            <w:pPr>
              <w:pStyle w:val="null3"/>
            </w:pPr>
            <w:r>
              <w:rPr>
                <w:rFonts w:ascii="仿宋_GB2312" w:hAnsi="仿宋_GB2312" w:cs="仿宋_GB2312" w:eastAsia="仿宋_GB2312"/>
              </w:rPr>
              <w:t>开户银行：中国建设银行股份有限公司西安八里村支行</w:t>
            </w:r>
          </w:p>
          <w:p>
            <w:pPr>
              <w:pStyle w:val="null3"/>
            </w:pPr>
            <w:r>
              <w:rPr>
                <w:rFonts w:ascii="仿宋_GB2312" w:hAnsi="仿宋_GB2312" w:cs="仿宋_GB2312" w:eastAsia="仿宋_GB2312"/>
              </w:rPr>
              <w:t>银行账号：61050172370000000288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 ZCSP-渭南市-2025-00675 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服务标准：必须符合国家、省、市有关规定、技术规程及规范要求；必须符合行业标准及相关规定。按采购文件，响应文件及澄清函，项目检查情况等综合指标进行验收，各项指标均应符合验收标准及要求。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渭南市应急避难场所专项规划编制项目：结合市政基础设施和周边环境，合理规划布局，编制形成我市应急避难场所专项规划。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渭南市应急避难场所专项规划编制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标的名称：渭南市应急避难场所专项规划编制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1、工作内容</w:t>
            </w:r>
          </w:p>
          <w:p>
            <w:pPr>
              <w:pStyle w:val="null3"/>
              <w:jc w:val="both"/>
            </w:pPr>
            <w:r>
              <w:rPr>
                <w:rFonts w:ascii="仿宋_GB2312" w:hAnsi="仿宋_GB2312" w:cs="仿宋_GB2312" w:eastAsia="仿宋_GB2312"/>
              </w:rPr>
              <w:t>渭南市应急避难场所专项规划编制，方案编制工作包括：资料收集，方案编制，数据库制作，方案优化，专家评审，成果报批等内容。</w:t>
            </w:r>
          </w:p>
          <w:p>
            <w:pPr>
              <w:pStyle w:val="null3"/>
              <w:jc w:val="both"/>
            </w:pPr>
            <w:r>
              <w:rPr>
                <w:rFonts w:ascii="仿宋_GB2312" w:hAnsi="仿宋_GB2312" w:cs="仿宋_GB2312" w:eastAsia="仿宋_GB2312"/>
              </w:rPr>
              <w:t>2、技术要求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贯彻新发展要求。坚持以人民为中心的发展思想，坚持</w:t>
            </w:r>
            <w:r>
              <w:rPr>
                <w:rFonts w:ascii="仿宋_GB2312" w:hAnsi="仿宋_GB2312" w:cs="仿宋_GB2312" w:eastAsia="仿宋_GB2312"/>
              </w:rPr>
              <w:t>“人民至上、生命至上”，坚持底线思维、极限思维，适应建立大安全大应急框架和健全完善国家应急管理体系新任务新要求，统筹发展和安全，最大限度保障人民群众生命安全和维护社会稳定。</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强化规划指导作用。将编制应急避难场所专项规划作为科学合理规划、高标准建设应急避难场所的必要前提，坚持需求导向、问题导向、目标导向，突出分级分类，科学规划设计</w:t>
            </w:r>
            <w:r>
              <w:rPr>
                <w:rFonts w:ascii="仿宋_GB2312" w:hAnsi="仿宋_GB2312" w:cs="仿宋_GB2312" w:eastAsia="仿宋_GB2312"/>
              </w:rPr>
              <w:t>渭南市</w:t>
            </w:r>
            <w:r>
              <w:rPr>
                <w:rFonts w:ascii="仿宋_GB2312" w:hAnsi="仿宋_GB2312" w:cs="仿宋_GB2312" w:eastAsia="仿宋_GB2312"/>
              </w:rPr>
              <w:t>适宜级别类型的应急避难场所，增强规划的针对性、科学性、指导性和可实施性。</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突出区域风险特征。突出不同区域特点和灾害事故特征，充分考虑</w:t>
            </w:r>
            <w:r>
              <w:rPr>
                <w:rFonts w:ascii="仿宋_GB2312" w:hAnsi="仿宋_GB2312" w:cs="仿宋_GB2312" w:eastAsia="仿宋_GB2312"/>
              </w:rPr>
              <w:t>渭南当地</w:t>
            </w:r>
            <w:r>
              <w:rPr>
                <w:rFonts w:ascii="仿宋_GB2312" w:hAnsi="仿宋_GB2312" w:cs="仿宋_GB2312" w:eastAsia="仿宋_GB2312"/>
              </w:rPr>
              <w:t>地理地质环境、气象水文条件和人口分布、土地资源、城乡产业布局、公共设施与场地空间等因素，做好</w:t>
            </w:r>
            <w:r>
              <w:rPr>
                <w:rFonts w:ascii="仿宋_GB2312" w:hAnsi="仿宋_GB2312" w:cs="仿宋_GB2312" w:eastAsia="仿宋_GB2312"/>
              </w:rPr>
              <w:t>规划区</w:t>
            </w:r>
            <w:r>
              <w:rPr>
                <w:rFonts w:ascii="仿宋_GB2312" w:hAnsi="仿宋_GB2312" w:cs="仿宋_GB2312" w:eastAsia="仿宋_GB2312"/>
              </w:rPr>
              <w:t>安全风险分析，合理确定应急避难需求。</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统筹资源共建共用。融入新型城镇化、乡村振兴战略等，积极推进应急避难场所平急、平疫、平战结合，加强防灾防疫防空应急避难资源，以及公共文化、教育、体育、旅游和城乡基础设施等融合共建共用。</w:t>
            </w:r>
          </w:p>
          <w:p>
            <w:pPr>
              <w:pStyle w:val="null3"/>
              <w:jc w:val="both"/>
            </w:pPr>
            <w:r>
              <w:rPr>
                <w:rFonts w:ascii="仿宋_GB2312" w:hAnsi="仿宋_GB2312" w:cs="仿宋_GB2312" w:eastAsia="仿宋_GB2312"/>
              </w:rPr>
              <w:t>3、成果要求</w:t>
            </w:r>
          </w:p>
          <w:p>
            <w:pPr>
              <w:pStyle w:val="null3"/>
              <w:jc w:val="both"/>
            </w:pPr>
            <w:r>
              <w:rPr>
                <w:rFonts w:ascii="仿宋_GB2312" w:hAnsi="仿宋_GB2312" w:cs="仿宋_GB2312" w:eastAsia="仿宋_GB2312"/>
              </w:rPr>
              <w:t>主要成果</w:t>
            </w:r>
            <w:r>
              <w:rPr>
                <w:rFonts w:ascii="仿宋_GB2312" w:hAnsi="仿宋_GB2312" w:cs="仿宋_GB2312" w:eastAsia="仿宋_GB2312"/>
              </w:rPr>
              <w:t>包括规划文本、规划图集、规划说明和相关数据库。</w:t>
            </w:r>
          </w:p>
          <w:p>
            <w:pPr>
              <w:pStyle w:val="null3"/>
              <w:jc w:val="both"/>
            </w:pPr>
            <w:r>
              <w:rPr>
                <w:rFonts w:ascii="仿宋_GB2312" w:hAnsi="仿宋_GB2312" w:cs="仿宋_GB2312" w:eastAsia="仿宋_GB2312"/>
              </w:rPr>
              <w:t>涉及向社会公开的规划文本、图件等，需符合国家保密管理和地图管理等有关规定。</w:t>
            </w:r>
          </w:p>
          <w:p>
            <w:pPr>
              <w:pStyle w:val="null3"/>
              <w:jc w:val="both"/>
            </w:pPr>
            <w:r>
              <w:rPr>
                <w:rFonts w:ascii="仿宋_GB2312" w:hAnsi="仿宋_GB2312" w:cs="仿宋_GB2312" w:eastAsia="仿宋_GB2312"/>
              </w:rPr>
              <w:t>4、其他要求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服务要求：符合国家的相关标准、行业标准、地方标准或者其他标准、规范，成果经渭南市应急管理局核查确认通过，经政府常务会正式通过，</w:t>
            </w:r>
            <w:r>
              <w:rPr>
                <w:rFonts w:ascii="仿宋_GB2312" w:hAnsi="仿宋_GB2312" w:cs="仿宋_GB2312" w:eastAsia="仿宋_GB2312"/>
              </w:rPr>
              <w:t>并将规划成果数据纳入国土空间规划</w:t>
            </w:r>
            <w:r>
              <w:rPr>
                <w:rFonts w:ascii="仿宋_GB2312" w:hAnsi="仿宋_GB2312" w:cs="仿宋_GB2312" w:eastAsia="仿宋_GB2312"/>
              </w:rPr>
              <w:t>“一张图”</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）安全要求：按相关管理规定执行，确保数据和过程成果安全。</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服务期限：配合采购人按照省市相关要求完成成果审查，并将规划成果数据纳入国土空间规划</w:t>
            </w:r>
            <w:r>
              <w:rPr>
                <w:rFonts w:ascii="仿宋_GB2312" w:hAnsi="仿宋_GB2312" w:cs="仿宋_GB2312" w:eastAsia="仿宋_GB2312"/>
              </w:rPr>
              <w:t>“一张图”。</w:t>
            </w:r>
          </w:p>
          <w:p>
            <w:pPr>
              <w:pStyle w:val="null3"/>
              <w:jc w:val="both"/>
            </w:pPr>
            <w:r>
              <w:rPr>
                <w:rFonts w:ascii="仿宋_GB2312" w:hAnsi="仿宋_GB2312" w:cs="仿宋_GB2312" w:eastAsia="仿宋_GB2312"/>
              </w:rPr>
              <w:t>（</w:t>
            </w:r>
            <w:r>
              <w:rPr>
                <w:rFonts w:ascii="仿宋_GB2312" w:hAnsi="仿宋_GB2312" w:cs="仿宋_GB2312" w:eastAsia="仿宋_GB2312"/>
              </w:rPr>
              <w:t>4）暂定2</w:t>
            </w:r>
            <w:r>
              <w:rPr>
                <w:rFonts w:ascii="仿宋_GB2312" w:hAnsi="仿宋_GB2312" w:cs="仿宋_GB2312" w:eastAsia="仿宋_GB2312"/>
              </w:rPr>
              <w:t>025年</w:t>
            </w:r>
            <w:r>
              <w:rPr>
                <w:rFonts w:ascii="仿宋_GB2312" w:hAnsi="仿宋_GB2312" w:cs="仿宋_GB2312" w:eastAsia="仿宋_GB2312"/>
              </w:rPr>
              <w:t>12</w:t>
            </w:r>
            <w:r>
              <w:rPr>
                <w:rFonts w:ascii="仿宋_GB2312" w:hAnsi="仿宋_GB2312" w:cs="仿宋_GB2312" w:eastAsia="仿宋_GB2312"/>
              </w:rPr>
              <w:t>月形成成果初稿，</w:t>
            </w:r>
            <w:r>
              <w:rPr>
                <w:rFonts w:ascii="仿宋_GB2312" w:hAnsi="仿宋_GB2312" w:cs="仿宋_GB2312" w:eastAsia="仿宋_GB2312"/>
              </w:rPr>
              <w:t>最终至规划成果数据纳入国土空间规划</w:t>
            </w:r>
            <w:r>
              <w:rPr>
                <w:rFonts w:ascii="仿宋_GB2312" w:hAnsi="仿宋_GB2312" w:cs="仿宋_GB2312" w:eastAsia="仿宋_GB2312"/>
              </w:rPr>
              <w:t>“一张图”。</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）主要规划依据</w:t>
            </w:r>
            <w:r>
              <w:rPr>
                <w:rFonts w:ascii="仿宋_GB2312" w:hAnsi="仿宋_GB2312" w:cs="仿宋_GB2312" w:eastAsia="仿宋_GB2312"/>
              </w:rPr>
              <w:t>及标准</w:t>
            </w:r>
          </w:p>
          <w:p>
            <w:pPr>
              <w:pStyle w:val="null3"/>
              <w:jc w:val="both"/>
            </w:pPr>
            <w:r>
              <w:rPr>
                <w:rFonts w:ascii="仿宋_GB2312" w:hAnsi="仿宋_GB2312" w:cs="仿宋_GB2312" w:eastAsia="仿宋_GB2312"/>
              </w:rPr>
              <w:t>1）</w:t>
            </w:r>
            <w:r>
              <w:rPr>
                <w:rFonts w:ascii="仿宋_GB2312" w:hAnsi="仿宋_GB2312" w:cs="仿宋_GB2312" w:eastAsia="仿宋_GB2312"/>
              </w:rPr>
              <w:t>《中华人民共和国城乡规划法》</w:t>
            </w:r>
          </w:p>
          <w:p>
            <w:pPr>
              <w:pStyle w:val="null3"/>
              <w:jc w:val="both"/>
            </w:pPr>
            <w:r>
              <w:rPr>
                <w:rFonts w:ascii="仿宋_GB2312" w:hAnsi="仿宋_GB2312" w:cs="仿宋_GB2312" w:eastAsia="仿宋_GB2312"/>
              </w:rPr>
              <w:t>2）</w:t>
            </w:r>
            <w:r>
              <w:rPr>
                <w:rFonts w:ascii="仿宋_GB2312" w:hAnsi="仿宋_GB2312" w:cs="仿宋_GB2312" w:eastAsia="仿宋_GB2312"/>
              </w:rPr>
              <w:t>《中华人民共和国防震减灾法》</w:t>
            </w:r>
          </w:p>
          <w:p>
            <w:pPr>
              <w:pStyle w:val="null3"/>
              <w:jc w:val="both"/>
            </w:pPr>
            <w:r>
              <w:rPr>
                <w:rFonts w:ascii="仿宋_GB2312" w:hAnsi="仿宋_GB2312" w:cs="仿宋_GB2312" w:eastAsia="仿宋_GB2312"/>
              </w:rPr>
              <w:t>3）</w:t>
            </w:r>
            <w:r>
              <w:rPr>
                <w:rFonts w:ascii="仿宋_GB2312" w:hAnsi="仿宋_GB2312" w:cs="仿宋_GB2312" w:eastAsia="仿宋_GB2312"/>
              </w:rPr>
              <w:t>《中华人民共和国突发事件应对法》</w:t>
            </w:r>
          </w:p>
          <w:p>
            <w:pPr>
              <w:pStyle w:val="null3"/>
              <w:jc w:val="both"/>
            </w:pPr>
            <w:r>
              <w:rPr>
                <w:rFonts w:ascii="仿宋_GB2312" w:hAnsi="仿宋_GB2312" w:cs="仿宋_GB2312" w:eastAsia="仿宋_GB2312"/>
              </w:rPr>
              <w:t>4）</w:t>
            </w:r>
            <w:r>
              <w:rPr>
                <w:rFonts w:ascii="仿宋_GB2312" w:hAnsi="仿宋_GB2312" w:cs="仿宋_GB2312" w:eastAsia="仿宋_GB2312"/>
              </w:rPr>
              <w:t>《中共中央、国务院关于建立国土空间规划体系并监督实施的若</w:t>
            </w:r>
            <w:r>
              <w:rPr>
                <w:rFonts w:ascii="仿宋_GB2312" w:hAnsi="仿宋_GB2312" w:cs="仿宋_GB2312" w:eastAsia="仿宋_GB2312"/>
              </w:rPr>
              <w:t>干</w:t>
            </w:r>
            <w:r>
              <w:rPr>
                <w:rFonts w:ascii="仿宋_GB2312" w:hAnsi="仿宋_GB2312" w:cs="仿宋_GB2312" w:eastAsia="仿宋_GB2312"/>
              </w:rPr>
              <w:t>意见》</w:t>
            </w:r>
            <w:r>
              <w:rPr>
                <w:rFonts w:ascii="仿宋_GB2312" w:hAnsi="仿宋_GB2312" w:cs="仿宋_GB2312" w:eastAsia="仿宋_GB2312"/>
              </w:rPr>
              <w:t>(中发(2019)18号)</w:t>
            </w:r>
          </w:p>
          <w:p>
            <w:pPr>
              <w:pStyle w:val="null3"/>
              <w:jc w:val="both"/>
            </w:pPr>
            <w:r>
              <w:rPr>
                <w:rFonts w:ascii="仿宋_GB2312" w:hAnsi="仿宋_GB2312" w:cs="仿宋_GB2312" w:eastAsia="仿宋_GB2312"/>
              </w:rPr>
              <w:t>5）</w:t>
            </w:r>
            <w:r>
              <w:rPr>
                <w:rFonts w:ascii="仿宋_GB2312" w:hAnsi="仿宋_GB2312" w:cs="仿宋_GB2312" w:eastAsia="仿宋_GB2312"/>
              </w:rPr>
              <w:t>《关于加强应急避难场所建设的指导意见》</w:t>
            </w:r>
            <w:r>
              <w:rPr>
                <w:rFonts w:ascii="仿宋_GB2312" w:hAnsi="仿宋_GB2312" w:cs="仿宋_GB2312" w:eastAsia="仿宋_GB2312"/>
              </w:rPr>
              <w:t>(应急(2023)76号)</w:t>
            </w:r>
          </w:p>
          <w:p>
            <w:pPr>
              <w:pStyle w:val="null3"/>
              <w:jc w:val="both"/>
            </w:pPr>
            <w:r>
              <w:rPr>
                <w:rFonts w:ascii="仿宋_GB2312" w:hAnsi="仿宋_GB2312" w:cs="仿宋_GB2312" w:eastAsia="仿宋_GB2312"/>
              </w:rPr>
              <w:t>6）</w:t>
            </w:r>
            <w:r>
              <w:rPr>
                <w:rFonts w:ascii="仿宋_GB2312" w:hAnsi="仿宋_GB2312" w:cs="仿宋_GB2312" w:eastAsia="仿宋_GB2312"/>
              </w:rPr>
              <w:t>《应急避难场所专项规划编制指南》</w:t>
            </w:r>
            <w:r>
              <w:rPr>
                <w:rFonts w:ascii="仿宋_GB2312" w:hAnsi="仿宋_GB2312" w:cs="仿宋_GB2312" w:eastAsia="仿宋_GB2312"/>
              </w:rPr>
              <w:t>(应急(2023)135号)</w:t>
            </w:r>
          </w:p>
          <w:p>
            <w:pPr>
              <w:pStyle w:val="null3"/>
              <w:jc w:val="both"/>
            </w:pPr>
            <w:r>
              <w:rPr>
                <w:rFonts w:ascii="仿宋_GB2312" w:hAnsi="仿宋_GB2312" w:cs="仿宋_GB2312" w:eastAsia="仿宋_GB2312"/>
              </w:rPr>
              <w:t>7）</w:t>
            </w:r>
            <w:r>
              <w:rPr>
                <w:rFonts w:ascii="仿宋_GB2312" w:hAnsi="仿宋_GB2312" w:cs="仿宋_GB2312" w:eastAsia="仿宋_GB2312"/>
              </w:rPr>
              <w:t>《应急避难场所评估指南</w:t>
            </w:r>
            <w:r>
              <w:rPr>
                <w:rFonts w:ascii="仿宋_GB2312" w:hAnsi="仿宋_GB2312" w:cs="仿宋_GB2312" w:eastAsia="仿宋_GB2312"/>
              </w:rPr>
              <w:t>(试行)》(应急厅(2023)36号)</w:t>
            </w:r>
          </w:p>
          <w:p>
            <w:pPr>
              <w:pStyle w:val="null3"/>
              <w:jc w:val="both"/>
            </w:pPr>
            <w:r>
              <w:rPr>
                <w:rFonts w:ascii="仿宋_GB2312" w:hAnsi="仿宋_GB2312" w:cs="仿宋_GB2312" w:eastAsia="仿宋_GB2312"/>
              </w:rPr>
              <w:t>8）</w:t>
            </w:r>
            <w:r>
              <w:rPr>
                <w:rFonts w:ascii="仿宋_GB2312" w:hAnsi="仿宋_GB2312" w:cs="仿宋_GB2312" w:eastAsia="仿宋_GB2312"/>
              </w:rPr>
              <w:t>《应急避难场所术语》</w:t>
            </w:r>
            <w:r>
              <w:rPr>
                <w:rFonts w:ascii="仿宋_GB2312" w:hAnsi="仿宋_GB2312" w:cs="仿宋_GB2312" w:eastAsia="仿宋_GB2312"/>
              </w:rPr>
              <w:t>(GB/T 44012-2024)</w:t>
            </w:r>
          </w:p>
          <w:p>
            <w:pPr>
              <w:pStyle w:val="null3"/>
              <w:jc w:val="both"/>
            </w:pPr>
            <w:r>
              <w:rPr>
                <w:rFonts w:ascii="仿宋_GB2312" w:hAnsi="仿宋_GB2312" w:cs="仿宋_GB2312" w:eastAsia="仿宋_GB2312"/>
              </w:rPr>
              <w:t>9）</w:t>
            </w:r>
            <w:r>
              <w:rPr>
                <w:rFonts w:ascii="仿宋_GB2312" w:hAnsi="仿宋_GB2312" w:cs="仿宋_GB2312" w:eastAsia="仿宋_GB2312"/>
              </w:rPr>
              <w:t>《应急避难场所分级及分类》</w:t>
            </w:r>
            <w:r>
              <w:rPr>
                <w:rFonts w:ascii="仿宋_GB2312" w:hAnsi="仿宋_GB2312" w:cs="仿宋_GB2312" w:eastAsia="仿宋_GB2312"/>
              </w:rPr>
              <w:t>(GB/T 44013-2024)</w:t>
            </w:r>
          </w:p>
          <w:p>
            <w:pPr>
              <w:pStyle w:val="null3"/>
              <w:jc w:val="both"/>
            </w:pPr>
            <w:r>
              <w:rPr>
                <w:rFonts w:ascii="仿宋_GB2312" w:hAnsi="仿宋_GB2312" w:cs="仿宋_GB2312" w:eastAsia="仿宋_GB2312"/>
              </w:rPr>
              <w:t>10）</w:t>
            </w:r>
            <w:r>
              <w:rPr>
                <w:rFonts w:ascii="仿宋_GB2312" w:hAnsi="仿宋_GB2312" w:cs="仿宋_GB2312" w:eastAsia="仿宋_GB2312"/>
              </w:rPr>
              <w:t>《应急避难场所标志》</w:t>
            </w:r>
            <w:r>
              <w:rPr>
                <w:rFonts w:ascii="仿宋_GB2312" w:hAnsi="仿宋_GB2312" w:cs="仿宋_GB2312" w:eastAsia="仿宋_GB2312"/>
              </w:rPr>
              <w:t>(GB/T 44014-2024)</w:t>
            </w:r>
          </w:p>
          <w:p>
            <w:pPr>
              <w:pStyle w:val="null3"/>
              <w:jc w:val="both"/>
            </w:pPr>
            <w:r>
              <w:rPr>
                <w:rFonts w:ascii="仿宋_GB2312" w:hAnsi="仿宋_GB2312" w:cs="仿宋_GB2312" w:eastAsia="仿宋_GB2312"/>
              </w:rPr>
              <w:t>11）</w:t>
            </w:r>
            <w:r>
              <w:rPr>
                <w:rFonts w:ascii="仿宋_GB2312" w:hAnsi="仿宋_GB2312" w:cs="仿宋_GB2312" w:eastAsia="仿宋_GB2312"/>
              </w:rPr>
              <w:t>《应急避难场所通用技术要求》</w:t>
            </w:r>
            <w:r>
              <w:rPr>
                <w:rFonts w:ascii="仿宋_GB2312" w:hAnsi="仿宋_GB2312" w:cs="仿宋_GB2312" w:eastAsia="仿宋_GB2312"/>
              </w:rPr>
              <w:t>(GB/T 35624-2025）</w:t>
            </w:r>
          </w:p>
          <w:p>
            <w:pPr>
              <w:pStyle w:val="null3"/>
              <w:jc w:val="both"/>
            </w:pPr>
            <w:r>
              <w:rPr>
                <w:rFonts w:ascii="仿宋_GB2312" w:hAnsi="仿宋_GB2312" w:cs="仿宋_GB2312" w:eastAsia="仿宋_GB2312"/>
              </w:rPr>
              <w:t>12）</w:t>
            </w:r>
            <w:r>
              <w:rPr>
                <w:rFonts w:ascii="仿宋_GB2312" w:hAnsi="仿宋_GB2312" w:cs="仿宋_GB2312" w:eastAsia="仿宋_GB2312"/>
              </w:rPr>
              <w:t>《应急避难场所管护使用规范》</w:t>
            </w:r>
            <w:r>
              <w:rPr>
                <w:rFonts w:ascii="仿宋_GB2312" w:hAnsi="仿宋_GB2312" w:cs="仿宋_GB2312" w:eastAsia="仿宋_GB2312"/>
              </w:rPr>
              <w:t>(GB/T 33744-2025)</w:t>
            </w:r>
          </w:p>
          <w:p>
            <w:pPr>
              <w:pStyle w:val="null3"/>
              <w:jc w:val="both"/>
            </w:pPr>
            <w:r>
              <w:rPr>
                <w:rFonts w:ascii="仿宋_GB2312" w:hAnsi="仿宋_GB2312" w:cs="仿宋_GB2312" w:eastAsia="仿宋_GB2312"/>
              </w:rPr>
              <w:t>13）</w:t>
            </w:r>
            <w:r>
              <w:rPr>
                <w:rFonts w:ascii="仿宋_GB2312" w:hAnsi="仿宋_GB2312" w:cs="仿宋_GB2312" w:eastAsia="仿宋_GB2312"/>
              </w:rPr>
              <w:t>《乡村应急避难场所设计规范》</w:t>
            </w:r>
            <w:r>
              <w:rPr>
                <w:rFonts w:ascii="仿宋_GB2312" w:hAnsi="仿宋_GB2312" w:cs="仿宋_GB2312" w:eastAsia="仿宋_GB2312"/>
              </w:rPr>
              <w:t>(GB/T 45290-2025)</w:t>
            </w:r>
          </w:p>
          <w:p>
            <w:pPr>
              <w:pStyle w:val="null3"/>
              <w:jc w:val="both"/>
            </w:pPr>
            <w:r>
              <w:rPr>
                <w:rFonts w:ascii="仿宋_GB2312" w:hAnsi="仿宋_GB2312" w:cs="仿宋_GB2312" w:eastAsia="仿宋_GB2312"/>
              </w:rPr>
              <w:t>14）</w:t>
            </w:r>
            <w:r>
              <w:rPr>
                <w:rFonts w:ascii="仿宋_GB2312" w:hAnsi="仿宋_GB2312" w:cs="仿宋_GB2312" w:eastAsia="仿宋_GB2312"/>
              </w:rPr>
              <w:t>《应急避难场所设施设备及物资配置》</w:t>
            </w:r>
            <w:r>
              <w:rPr>
                <w:rFonts w:ascii="仿宋_GB2312" w:hAnsi="仿宋_GB2312" w:cs="仿宋_GB2312" w:eastAsia="仿宋_GB2312"/>
              </w:rPr>
              <w:t>(YJ/T 26-2024)</w:t>
            </w:r>
          </w:p>
          <w:p>
            <w:pPr>
              <w:pStyle w:val="null3"/>
              <w:jc w:val="both"/>
            </w:pPr>
            <w:r>
              <w:rPr>
                <w:rFonts w:ascii="仿宋_GB2312" w:hAnsi="仿宋_GB2312" w:cs="仿宋_GB2312" w:eastAsia="仿宋_GB2312"/>
              </w:rPr>
              <w:t>15）</w:t>
            </w:r>
            <w:r>
              <w:rPr>
                <w:rFonts w:ascii="仿宋_GB2312" w:hAnsi="仿宋_GB2312" w:cs="仿宋_GB2312" w:eastAsia="仿宋_GB2312"/>
              </w:rPr>
              <w:t>《陕西省国土空间规划</w:t>
            </w:r>
            <w:r>
              <w:rPr>
                <w:rFonts w:ascii="仿宋_GB2312" w:hAnsi="仿宋_GB2312" w:cs="仿宋_GB2312" w:eastAsia="仿宋_GB2312"/>
              </w:rPr>
              <w:t>(2021-2035年)》</w:t>
            </w:r>
          </w:p>
          <w:p>
            <w:pPr>
              <w:pStyle w:val="null3"/>
              <w:jc w:val="both"/>
            </w:pPr>
            <w:r>
              <w:rPr>
                <w:rFonts w:ascii="仿宋_GB2312" w:hAnsi="仿宋_GB2312" w:cs="仿宋_GB2312" w:eastAsia="仿宋_GB2312"/>
              </w:rPr>
              <w:t>16）《陕西省突发事件总体应急预案》(陕政发(2021)11号)</w:t>
            </w:r>
          </w:p>
          <w:p>
            <w:pPr>
              <w:pStyle w:val="null3"/>
              <w:jc w:val="both"/>
            </w:pPr>
            <w:r>
              <w:rPr>
                <w:rFonts w:ascii="仿宋_GB2312" w:hAnsi="仿宋_GB2312" w:cs="仿宋_GB2312" w:eastAsia="仿宋_GB2312"/>
              </w:rPr>
              <w:t>17）《陕西省“十四五”应急管理事业发展规划》(陕政办发(2021)32号)</w:t>
            </w:r>
          </w:p>
          <w:p>
            <w:pPr>
              <w:pStyle w:val="null3"/>
              <w:jc w:val="both"/>
            </w:pPr>
            <w:r>
              <w:rPr>
                <w:rFonts w:ascii="仿宋_GB2312" w:hAnsi="仿宋_GB2312" w:cs="仿宋_GB2312" w:eastAsia="仿宋_GB2312"/>
              </w:rPr>
              <w:t>18）《陕西省自然灾害综合风险评估与区划技术报告》</w:t>
            </w:r>
          </w:p>
          <w:p>
            <w:pPr>
              <w:pStyle w:val="null3"/>
              <w:jc w:val="both"/>
            </w:pPr>
            <w:r>
              <w:rPr>
                <w:rFonts w:ascii="仿宋_GB2312" w:hAnsi="仿宋_GB2312" w:cs="仿宋_GB2312" w:eastAsia="仿宋_GB2312"/>
                <w:sz w:val="21"/>
              </w:rPr>
              <w:t>19）其他相关标准、规范及相关规划</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服务方按项目服务要求及特点，建立以项目负责人为核心的履行合同所必需人员团队，保证项目顺利实施，详见评审办法。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配合采购人按照省市相关要求完成成果审查，并将规划成果数据纳入国土空间规划“一张图”。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服务标准：必须符合国家、省、市有关规定、技术规程及规范要求；必须符合行业标准及相关规定。按采购文件，响应文件及澄清函，项目检查情况等综合指标进行验收，各项指标均应符合验收标准及要求。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合同签订后，甲方支付乙方项目编制启动订金</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乙方提交评审稿，并通过专家评审会后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乙方完成报批稿通过审批并向甲方移交所有成果（包括但不限于文本、图件、数据库、附件等）后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单位未全面履行合同义务或者发生违约，采购人有权终止合同，依法向中标单位进行经济索赔，并报请政府采购监督管理机关进行相应的行政处罚。采购人违约的，应当赔偿给中标单位造成的经济损失。 在执行过程中发生的与本协议有关的争议，甲乙双方应先协商解决，协商解决不了的，双方同意到甲方所在地申请仲裁；仲裁不成的，依法向甲方所在地人民法院提起诉讼。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合同金额即中成交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供应商需具有行业主管部门颁发的城乡规划编制乙级（含乙级）及以上资质；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拟派项目负责人须具有城乡规划专业高级（含高级）及以上职称及具备国家注册城乡规划师执业资格；</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磋商保证金缴纳凭证及退还申请表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服务内容及服务要求应答表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供应商对服务地点、服务期、付款方式、验收等商务要求进行响应，完全响应的4分，对服务期有优于响应的，加1分。无响应不得分。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供应商提供针对本项目的服务方案，内容包括但不限于：①项目背景分析及；②工作计划；③应急避难规划布局工作内容；④工作思路及方法；⑤服务实施细则等。 方案完整，完全包含以上5项且满足实际工作需求的得15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方案，内容包括但不限于：①质量管理体系；②质量保障措施；③质量控制手段；④突发情况补救措施；⑤成果保障措施等。方案完整，完全包含以上5项且满足实际工作需求的得15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供应商提供针对本项目的进度保障措施方案，内容包括但不限于：①项目实施进度目标分析；②提供合理的工作计划及时间节点；③项目进度保障措施等。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供应商提供针对本项目的项目重难点分析与解决方案，内容包括但不限于：①重、难点分析；②解决措施等。 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供应商提供提供针对本项目制定专项保密措施方案，内容包括但不限于：①保密实施方案；②保密承诺等。 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供应商提供针对本项目服务承诺，内容包括但不限于：①对本项目进度、时限、成果文件质量等做出承诺。②对服务时限内团队稳定性、人员到位情况等相关内容做出承诺。 承诺内容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1、项目技术负责人具备此项目需要的相关专业高级(含高级)及以上职称或注册城乡规划师，得2分； 2、项目组人员具备此项目需要的相关专业中级及以上职称或注册城乡规划师，每提供1名人员得1分，最多得4分。（相关专业包含城乡规划或城市规划或交通规划或测绘或道路交通或建筑设计或地理信息等专业。） 注:(1)提供近三个月内的社保缴纳证明;(2)提供服务团队人员名单及相关证书扫描件加盖供应商公章，人员不重复计分。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提供2022年1月1日以来供应商类似项目的业绩合同（以合同签订日期为准），附中标通知书或业绩合同复印件加盖公章，每提供一个业绩得2分，满分6分；未提供不计分。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