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版本号：SXZZ-采-【F2025-081301】20250814001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渭南高新区污水处理厂尾水湿地工程（一期）运维管理服务项目（2025年9月-2027年8月）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SXZZ-采-【F2025-081301】</w:t>
      </w:r>
      <w:r>
        <w:br/>
      </w:r>
      <w:r>
        <w:br/>
      </w:r>
      <w:r>
        <w:br/>
      </w:r>
    </w:p>
    <w:p>
      <w:pPr>
        <w:pStyle w:val="null3"/>
        <w:jc w:val="center"/>
        <w:outlineLvl w:val="2"/>
      </w:pPr>
      <w:r>
        <w:rPr>
          <w:rFonts w:ascii="仿宋_GB2312" w:hAnsi="仿宋_GB2312" w:cs="仿宋_GB2312" w:eastAsia="仿宋_GB2312"/>
          <w:sz w:val="28"/>
          <w:b/>
        </w:rPr>
        <w:t>渭南市生态环境局高新分局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渭南市生态环境局高新分局</w:t>
      </w:r>
      <w:r>
        <w:rPr>
          <w:rFonts w:ascii="仿宋_GB2312" w:hAnsi="仿宋_GB2312" w:cs="仿宋_GB2312" w:eastAsia="仿宋_GB2312"/>
        </w:rPr>
        <w:t>委托，拟对</w:t>
      </w:r>
      <w:r>
        <w:rPr>
          <w:rFonts w:ascii="仿宋_GB2312" w:hAnsi="仿宋_GB2312" w:cs="仿宋_GB2312" w:eastAsia="仿宋_GB2312"/>
        </w:rPr>
        <w:t>渭南高新区污水处理厂尾水湿地工程（一期）运维管理服务项目（2025年9月-2027年8月）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SXZZ-采-【F2025-081301】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渭南高新区污水处理厂尾水湿地工程（一期）运维管理服务项目（2025年9月-2027年8月）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对渭南高新区污水处理厂尾水湿地工程（一期）进行日常运维管理和安保服务。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采购包1（渭南高新区尾水湿地工程(一期)运维管理服务项目（2025年9月-2027年8月））：属于专门面向中小企业采购。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1、营业执照或等同：国内合法注册，具有独立承担民事责任能力的法人或其他组织；</w:t>
      </w:r>
    </w:p>
    <w:p>
      <w:pPr>
        <w:pStyle w:val="null3"/>
      </w:pPr>
      <w:r>
        <w:rPr>
          <w:rFonts w:ascii="仿宋_GB2312" w:hAnsi="仿宋_GB2312" w:cs="仿宋_GB2312" w:eastAsia="仿宋_GB2312"/>
        </w:rPr>
        <w:t>2、法定代表人资格证明：提供法定代表人资格证明；</w:t>
      </w:r>
    </w:p>
    <w:p>
      <w:pPr>
        <w:pStyle w:val="null3"/>
      </w:pPr>
      <w:r>
        <w:rPr>
          <w:rFonts w:ascii="仿宋_GB2312" w:hAnsi="仿宋_GB2312" w:cs="仿宋_GB2312" w:eastAsia="仿宋_GB2312"/>
        </w:rPr>
        <w:t>3、供应商应提供健全的财务会计制度的证明材料：提供供应商2024年年度财务报表（包括资产负债表、利润表、现金流量表）或供应商开户银行针对本项目开具的资信证明；</w:t>
      </w:r>
    </w:p>
    <w:p>
      <w:pPr>
        <w:pStyle w:val="null3"/>
      </w:pPr>
      <w:r>
        <w:rPr>
          <w:rFonts w:ascii="仿宋_GB2312" w:hAnsi="仿宋_GB2312" w:cs="仿宋_GB2312" w:eastAsia="仿宋_GB2312"/>
        </w:rPr>
        <w:t>4、完税及社保缴纳证明：提供供应商2024年8月至今任意一个月完税证明及社保缴纳凭证（须含养老），依法免税或至投标截止时间成立不足一月的提供相关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w:t>
      </w:r>
    </w:p>
    <w:p>
      <w:pPr>
        <w:pStyle w:val="null3"/>
      </w:pPr>
      <w:r>
        <w:rPr>
          <w:rFonts w:ascii="仿宋_GB2312" w:hAnsi="仿宋_GB2312" w:cs="仿宋_GB2312" w:eastAsia="仿宋_GB2312"/>
        </w:rPr>
        <w:t>6、无重大违法违规记录等的声明：供应商参加本政府采购活动前三年内（2022年8月至提交首次响应文件截止时间止）在经营活动中无重大违法违规记录、无重大行政处罚、无重大安全事故的书面声明；</w:t>
      </w:r>
    </w:p>
    <w:p>
      <w:pPr>
        <w:pStyle w:val="null3"/>
      </w:pPr>
      <w:r>
        <w:rPr>
          <w:rFonts w:ascii="仿宋_GB2312" w:hAnsi="仿宋_GB2312" w:cs="仿宋_GB2312" w:eastAsia="仿宋_GB2312"/>
        </w:rPr>
        <w:t>7、磋商保证金：缴纳磋商保证金；</w:t>
      </w:r>
    </w:p>
    <w:p>
      <w:pPr>
        <w:pStyle w:val="null3"/>
      </w:pPr>
      <w:r>
        <w:rPr>
          <w:rFonts w:ascii="仿宋_GB2312" w:hAnsi="仿宋_GB2312" w:cs="仿宋_GB2312" w:eastAsia="仿宋_GB2312"/>
        </w:rPr>
        <w:t>8、禁止磋商情形：禁止磋商情形：①法定代表人或负责人为同一人或存在直接控股、管理关系的不同单位，不得同时参加本项目磋商；②与采购人存在利害关系的单位不得参加本项目磋商；③法律法规规定的其他禁止磋商情形；</w:t>
      </w:r>
    </w:p>
    <w:p>
      <w:pPr>
        <w:pStyle w:val="null3"/>
      </w:pPr>
      <w:r>
        <w:rPr>
          <w:rFonts w:ascii="仿宋_GB2312" w:hAnsi="仿宋_GB2312" w:cs="仿宋_GB2312" w:eastAsia="仿宋_GB2312"/>
        </w:rPr>
        <w:t>9、非联合体磋商：非联合体磋商。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苏贺娟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18991635915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西安市莲湖区沣惠路南段艺腾国际商务大厦十楼1015</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招标二部-王凯、左金娟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招标代理服务收费管理暂行办法》计价格[2002]1980号文及发改价格[2015]299号文件相关规定，以采购预算为基准计算收取。2.收取时间:成交人确定之日应当收取。3.支付时间：成交人确定之日起2日内一次性全额支付。费用包含在磋商报价中，无论计算与否，均视为已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渭南市生态环境局高新分局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渭南市生态环境局高新分局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1）按季度进行考核，每季末由甲方组织验收考核；2）乙方应确保按照本项目要求的质量和时间完成各项工作； 3）验收考核后出具验收报告，未达标工作由乙方进行整改；4）验收标准：符合国家、地方相关标准规范及采购要求。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联系电话：029-81510957</w:t>
      </w:r>
    </w:p>
    <w:p>
      <w:pPr>
        <w:pStyle w:val="null3"/>
      </w:pPr>
      <w:r>
        <w:rPr>
          <w:rFonts w:ascii="仿宋_GB2312" w:hAnsi="仿宋_GB2312" w:cs="仿宋_GB2312" w:eastAsia="仿宋_GB2312"/>
        </w:rPr>
        <w:t>地址：西安市莲湖区沣惠路南段艺腾国际商务大厦十楼1015</w:t>
      </w:r>
    </w:p>
    <w:p>
      <w:pPr>
        <w:pStyle w:val="null3"/>
      </w:pPr>
      <w:r>
        <w:rPr>
          <w:rFonts w:ascii="仿宋_GB2312" w:hAnsi="仿宋_GB2312" w:cs="仿宋_GB2312" w:eastAsia="仿宋_GB2312"/>
        </w:rPr>
        <w:t>邮编： 710002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对渭南高新区污水处理厂尾水湿地工程（一期）进行日常运维管理和安保服务。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对高新区污水处理厂尾水湿地工程（一期）进行日常运维和安保服务等内容进行采购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标的名称：对高新区污水处理厂尾水湿地工程（一期）进行日常运维和安保服务等内容进行采购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服务商</w:t>
            </w:r>
            <w:r>
              <w:rPr>
                <w:rFonts w:ascii="仿宋_GB2312" w:hAnsi="仿宋_GB2312" w:cs="仿宋_GB2312" w:eastAsia="仿宋_GB2312"/>
                <w:sz w:val="24"/>
              </w:rPr>
              <w:t>负责建设面积</w:t>
            </w:r>
            <w:r>
              <w:rPr>
                <w:rFonts w:ascii="仿宋_GB2312" w:hAnsi="仿宋_GB2312" w:cs="仿宋_GB2312" w:eastAsia="仿宋_GB2312"/>
                <w:sz w:val="24"/>
              </w:rPr>
              <w:t>126.13亩</w:t>
            </w:r>
            <w:r>
              <w:rPr>
                <w:rFonts w:ascii="仿宋_GB2312" w:hAnsi="仿宋_GB2312" w:cs="仿宋_GB2312" w:eastAsia="仿宋_GB2312"/>
                <w:sz w:val="24"/>
              </w:rPr>
              <w:t>的</w:t>
            </w:r>
            <w:r>
              <w:rPr>
                <w:rFonts w:ascii="仿宋_GB2312" w:hAnsi="仿宋_GB2312" w:cs="仿宋_GB2312" w:eastAsia="仿宋_GB2312"/>
                <w:sz w:val="24"/>
              </w:rPr>
              <w:t>污水处理厂尾水湿地工程（一期）</w:t>
            </w:r>
            <w:r>
              <w:rPr>
                <w:rFonts w:ascii="仿宋_GB2312" w:hAnsi="仿宋_GB2312" w:cs="仿宋_GB2312" w:eastAsia="仿宋_GB2312"/>
                <w:sz w:val="24"/>
              </w:rPr>
              <w:t>的</w:t>
            </w:r>
            <w:r>
              <w:rPr>
                <w:rFonts w:ascii="仿宋_GB2312" w:hAnsi="仿宋_GB2312" w:cs="仿宋_GB2312" w:eastAsia="仿宋_GB2312"/>
                <w:sz w:val="24"/>
              </w:rPr>
              <w:t>日常运维管理</w:t>
            </w:r>
            <w:r>
              <w:rPr>
                <w:rFonts w:ascii="仿宋_GB2312" w:hAnsi="仿宋_GB2312" w:cs="仿宋_GB2312" w:eastAsia="仿宋_GB2312"/>
                <w:sz w:val="24"/>
              </w:rPr>
              <w:t>和安保工作</w:t>
            </w:r>
            <w:r>
              <w:rPr>
                <w:rFonts w:ascii="仿宋_GB2312" w:hAnsi="仿宋_GB2312" w:cs="仿宋_GB2312" w:eastAsia="仿宋_GB2312"/>
                <w:sz w:val="24"/>
              </w:rPr>
              <w:t>，确保主要设施正常运行，设施安全，无丢失被盗</w:t>
            </w:r>
            <w:r>
              <w:rPr>
                <w:rFonts w:ascii="仿宋_GB2312" w:hAnsi="仿宋_GB2312" w:cs="仿宋_GB2312" w:eastAsia="仿宋_GB2312"/>
                <w:sz w:val="24"/>
              </w:rPr>
              <w:t>，</w:t>
            </w:r>
            <w:r>
              <w:rPr>
                <w:rFonts w:ascii="仿宋_GB2312" w:hAnsi="仿宋_GB2312" w:cs="仿宋_GB2312" w:eastAsia="仿宋_GB2312"/>
                <w:sz w:val="24"/>
              </w:rPr>
              <w:t>出水水质达到《地表水环境质量》</w:t>
            </w:r>
            <w:r>
              <w:rPr>
                <w:rFonts w:ascii="仿宋_GB2312" w:hAnsi="仿宋_GB2312" w:cs="仿宋_GB2312" w:eastAsia="仿宋_GB2312"/>
                <w:sz w:val="24"/>
              </w:rPr>
              <w:t>Ⅳ类标准</w:t>
            </w:r>
            <w:r>
              <w:rPr>
                <w:rFonts w:ascii="仿宋_GB2312" w:hAnsi="仿宋_GB2312" w:cs="仿宋_GB2312" w:eastAsia="仿宋_GB2312"/>
                <w:sz w:val="24"/>
              </w:rPr>
              <w:t>；</w:t>
            </w:r>
            <w:r>
              <w:rPr>
                <w:rFonts w:ascii="仿宋_GB2312" w:hAnsi="仿宋_GB2312" w:cs="仿宋_GB2312" w:eastAsia="仿宋_GB2312"/>
                <w:sz w:val="24"/>
              </w:rPr>
              <w:t>负责做好湿地场地保洁、绿化、维护、虫害防治、植物补种、水生植物栽种以及冬季芦苇收割、水面清理、水质监测等工作。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(1)至少配备1名具有丰富经验的项目管理人员，组织机构健全； （2）运维人员：不少于4人，年龄55岁以下，身体健康，有相关工作经验。其中至少电工1名，具备相关资格证书；园林绿化工作人员1名，有2年以上相关工作经验。白天驻场3人，夜晚1人。 (3)安保人员：不少于4人，年龄55岁以下，身体健康，无社会不良记录。持保安员证，具备消防及应急培训经验，熟悉污水处理厂危险源（如硫化氢防护、化学品泄漏处置）。 以上人员均为企业依照劳动合同法订立了劳动合同。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服务商需自行配备清洗车、水质检测仪、绿化器具、保洁器具、绿植护养药剂等工具设施，配备安全帽、防毒面具、救生绳等防护物资，满足项目正常运营、维护需求，保证安全运营。</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1、设施运维标准 1.1 布水渠、集水渠运维标准 (1) 对布水渠和集水渠进行定期检查，保证水渠畅通； (2) 对损坏的布水渠、集水渠进行及时修补，防止漏水。 1.2 管道、阀门运维标准 (1) 对管道、阀门进行日常巡视检查，保证管道、阀门的正常使用； (2) 定期对管道、阀门进行维护，保证不出现堵塞的现象； (3) 操作人员必须经过培训，能熟练掌握设备的操作； (4) 管道、阀门的运行、巡视、维修、保养要有详细的记录。 2、水质监测要求：每月不少于4次，监测指标为COD、氨氮、TP相关指标，如监测指标异常须及时上报。 3、卫生保洁管理标准 管理范围内实行全保洁的制度，确保湿地无卫生死角，清洁明净。 具体要求如下： (1) 湿地水面无明显枯枝、落叶等垃圾； (2) 湿地及周围水面漂浮物随时清理，无明显垃圾漂浮； (3) 湿地植物修剪过后及时清理干净，做到地面无枯枝残叶； (4) 湿地垃圾集中堆放，及时清运，做到日产日清； (5) 保证卫生工具、机械、垃圾桶等干净整洁，摆放有序； (6) 做好湿地周围蚊蝇防范并及时消杀的工作； (7) 对夏季湿地可能出现的异味要及时治理，保证不影响周围环境和居民正常生活。 4、 养护管理标准 4.1 湿地单元养护标准 (1) 采取不同方式进行精准治堵，确保水流通畅； (2) 定期对湿地系统进行检查、维修，防止出现漏水、渗水现象发生； (3) 湿地内无大面积恶性杂草； (4) 湿地植物无明显病虫害。在病虫害发生时，原则上不引入新的污染源（农药、杀虫剂），多用物理和生物等绿色环保的方式防治病虫害； (5) 植物生长正常，无明显死亡缺株； (6) 适时（如秋末初冬）收割湿地植物，保证人工湿地的良性循环； (7) 严格执行定期和经常的安全检查制度，及时消除事故隐患，特别是秋季人工湿地收割植物应妥善处置，以免引起火灾； (8) 严格执行污水出水检测制度和标准，在进水符合设计要求的情况下，保证出水水质达标。 4.2水生植物养护标准 (1) 植物生长期旺盛，开花正常，无明显病虫害； (2) 根据季节和植物生长要求，控制好水位，保持其有适宜生长环境； (3) 植物病虫害防治要及时，注意保护益虫，不污染环境； (4) 定期清除杂草和枯死植株，及时补植水生植物，保证净化和景观效果； (5) 对生长旺盛植物，要定期进行移植分栽，保证植物有适当生长空间； (6) 根据不同的植物类型，在其生长茂盛或成熟后应对植物进行定期收割。 （7）做好冬季干枯草木防火措施。 5、安全保卫管理标准 (1) 实行24小时工作制，两班轮岗，保障厂区人员、设备、物资安全，杜绝盗窃、破坏、火灾等事故。 （2）严禁工作人员当班期间饮酒或酒后上岗，规范进出管理，防止无关人员进入核心区域（如尾水处理区、配电室、加药间等） (3) 巡视过程中严格遵守两人巡视制度，按规定佩带对讲机； (4) 遇突发事件时冷静、妥善处理，及时用对讲机通知当班人员，必要时及时报警；其他人员接到通知后未在第一时间赶往现场，凡无故不到场或故意延误到场的，一经查实给予处理； (5) 妥善保管、保养配发用品，不用对讲机聊天； (6) 当班期间不睡觉，按时接岗，不间断巡视，夜间服从班组负责人调度，重点防护重要目标； (7) 做好交接班工作和巡视记录。 （8）接受甲方检查、监督，配合环保部门检查，确保安全生产。 （9）安全事故发生率≤1次/年，隐患整改率100%。 6、服务基本流程 1）日常运维：巡检→记录数据→调整工艺→设备保养→保洁。 2）问题处理：发现异常→上报→分析原因→维修/调整→复检。 3）定期汇报：每月提交运维报告（含水质数据、设备状态、整改建议等）。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1）按季度进行考核，每季末由甲方组织验收考核；2）乙方应确保按照本项目要求的质量和时间完成各项工作； 3）验收考核后出具验收报告，未达标工作由乙方进行整改；4）验收标准：符合国家、地方相关标准规范及采购要求。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双方合同签订后开始履约，按季度进行考核，每季末由甲方组织验收考核，合格无异议后，达到付款条件甲方在下一季度首月的前10日内支付上季度服务费用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按季度进行考核，每季末由甲方组织验收考核，合格无异议后，达到付款条件甲方在下一季度首月的前10日内支付上季度服务费用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按本项目采购合同及《民法典》等相关规定执行。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1.磋商小组： （1）依法从省财政厅专家库中随机抽取相关专业专家2名，与1名采购人代表组成3人磋商小组。 （2）磋商小组推荐一名专家担任组长，负责项目评审工作。 2.本项目所属行业：其他未列明行业。中小企业划型标准（1）从业人员≥300人，为大型企业；（2）100人≤从业人员＜300人，为中型企业；（3）10人≤从业人员＜100人，为小型企业；（4）从业人员＜10人以下，为微型企业。 3.线上文件编制：供应商编制文件时，应首先按磋商文件给定的目录、顺序、内容及格式进行编制，其次供应商可根据其响应实际情况，在磋商文件给定的目录下增设多级子目录或其他新目录，内容对应准确，页码清晰。 4.磋商评审结束后3个工作日内，成交供应商应提供纸质版响应文件三套（资质、商务、技术编制并胶装成一册），送至代理机构存档备案。线下纸质版文件应与线上电子文件内容及格式保持一致。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政府采购法第二十二条承诺.docx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法定代表人关联关系声明.docx 响应函 供应商关联关系声明.docx 禁止磋商情形承诺书.docx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完税及社保缴纳证明</w:t>
            </w:r>
          </w:p>
        </w:tc>
        <w:tc>
          <w:tcPr>
            <w:tcW w:type="dxa" w:w="3322"/>
          </w:tcPr>
          <w:p>
            <w:pPr>
              <w:pStyle w:val="null3"/>
            </w:pPr>
            <w:r>
              <w:rPr>
                <w:rFonts w:ascii="仿宋_GB2312" w:hAnsi="仿宋_GB2312" w:cs="仿宋_GB2312" w:eastAsia="仿宋_GB2312"/>
              </w:rPr>
              <w:t>提供供应商2024年8月至今任意一个月完税证明及社保缴纳凭证（须含养老），依法免税或至投标截止时间成立不足一月的提供相关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完税及社保缴纳凭证.docx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w:t>
            </w:r>
          </w:p>
        </w:tc>
        <w:tc>
          <w:tcPr>
            <w:tcW w:type="dxa" w:w="1661"/>
          </w:tcPr>
          <w:p>
            <w:pPr>
              <w:pStyle w:val="null3"/>
            </w:pPr>
            <w:r>
              <w:rPr>
                <w:rFonts w:ascii="仿宋_GB2312" w:hAnsi="仿宋_GB2312" w:cs="仿宋_GB2312" w:eastAsia="仿宋_GB2312"/>
              </w:rPr>
              <w:t>信用截图.docx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无重大违法违规记录等的声明</w:t>
            </w:r>
          </w:p>
        </w:tc>
        <w:tc>
          <w:tcPr>
            <w:tcW w:type="dxa" w:w="3322"/>
          </w:tcPr>
          <w:p>
            <w:pPr>
              <w:pStyle w:val="null3"/>
            </w:pPr>
            <w:r>
              <w:rPr>
                <w:rFonts w:ascii="仿宋_GB2312" w:hAnsi="仿宋_GB2312" w:cs="仿宋_GB2312" w:eastAsia="仿宋_GB2312"/>
              </w:rPr>
              <w:t>供应商参加本政府采购活动前三年内（2022年8月至提交首次响应文件截止时间止）在经营活动中无重大违法违规记录、无重大行政处罚、无重大安全事故的书面声明；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缴纳磋商保证金；</w:t>
            </w:r>
          </w:p>
        </w:tc>
        <w:tc>
          <w:tcPr>
            <w:tcW w:type="dxa" w:w="1661"/>
          </w:tcPr>
          <w:p>
            <w:pPr>
              <w:pStyle w:val="null3"/>
            </w:pPr>
            <w:r>
              <w:rPr>
                <w:rFonts w:ascii="仿宋_GB2312" w:hAnsi="仿宋_GB2312" w:cs="仿宋_GB2312" w:eastAsia="仿宋_GB2312"/>
              </w:rPr>
              <w:t>磋商保函格式.docx 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禁止磋商情形</w:t>
            </w:r>
          </w:p>
        </w:tc>
        <w:tc>
          <w:tcPr>
            <w:tcW w:type="dxa" w:w="3322"/>
          </w:tcPr>
          <w:p>
            <w:pPr>
              <w:pStyle w:val="null3"/>
            </w:pPr>
            <w:r>
              <w:rPr>
                <w:rFonts w:ascii="仿宋_GB2312" w:hAnsi="仿宋_GB2312" w:cs="仿宋_GB2312" w:eastAsia="仿宋_GB2312"/>
              </w:rPr>
              <w:t>禁止磋商情形：①法定代表人或负责人为同一人或存在直接控股、管理关系的不同单位，不得同时参加本项目磋商；②与采购人存在利害关系的单位不得参加本项目磋商；③法律法规规定的其他禁止磋商情形；</w:t>
            </w:r>
          </w:p>
        </w:tc>
        <w:tc>
          <w:tcPr>
            <w:tcW w:type="dxa" w:w="1661"/>
          </w:tcPr>
          <w:p>
            <w:pPr>
              <w:pStyle w:val="null3"/>
            </w:pPr>
            <w:r>
              <w:rPr>
                <w:rFonts w:ascii="仿宋_GB2312" w:hAnsi="仿宋_GB2312" w:cs="仿宋_GB2312" w:eastAsia="仿宋_GB2312"/>
              </w:rPr>
              <w:t>法定代表人关联关系声明.docx 供应商关联关系声明.docx 禁止磋商情形承诺书.docx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磋商总报价唯一且未超过项目预算：1300000.00元；</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磋商承诺</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服务目标</w:t>
            </w:r>
          </w:p>
        </w:tc>
        <w:tc>
          <w:tcPr>
            <w:tcW w:type="dxa" w:w="2492"/>
          </w:tcPr>
          <w:p>
            <w:pPr>
              <w:pStyle w:val="null3"/>
            </w:pPr>
            <w:r>
              <w:rPr>
                <w:rFonts w:ascii="仿宋_GB2312" w:hAnsi="仿宋_GB2312" w:cs="仿宋_GB2312" w:eastAsia="仿宋_GB2312"/>
              </w:rPr>
              <w:t>提供项目分析、服务标准、服务宗旨、服务计划等，根据各项内容主题是否鲜明、内容是否专业科学分别赋【0，1】分。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服务目标.docx</w:t>
            </w:r>
          </w:p>
          <w:p>
            <w:pPr>
              <w:pStyle w:val="null3"/>
            </w:pPr>
            <w:r>
              <w:rPr>
                <w:rFonts w:ascii="仿宋_GB2312" w:hAnsi="仿宋_GB2312" w:cs="仿宋_GB2312" w:eastAsia="仿宋_GB2312"/>
              </w:rPr>
              <w:t>技术（服务）响应偏离表.docx</w:t>
            </w:r>
          </w:p>
        </w:tc>
      </w:tr>
      <w:tr>
        <w:tc>
          <w:tcPr>
            <w:tcW w:type="dxa" w:w="831"/>
            <w:vMerge/>
          </w:tcPr>
          <w:p/>
        </w:tc>
        <w:tc>
          <w:tcPr>
            <w:tcW w:type="dxa" w:w="1661"/>
          </w:tcPr>
          <w:p>
            <w:pPr>
              <w:pStyle w:val="null3"/>
            </w:pPr>
            <w:r>
              <w:rPr>
                <w:rFonts w:ascii="仿宋_GB2312" w:hAnsi="仿宋_GB2312" w:cs="仿宋_GB2312" w:eastAsia="仿宋_GB2312"/>
              </w:rPr>
              <w:t>运维管理方案</w:t>
            </w:r>
          </w:p>
        </w:tc>
        <w:tc>
          <w:tcPr>
            <w:tcW w:type="dxa" w:w="2492"/>
          </w:tcPr>
          <w:p>
            <w:pPr>
              <w:pStyle w:val="null3"/>
            </w:pPr>
            <w:r>
              <w:rPr>
                <w:rFonts w:ascii="仿宋_GB2312" w:hAnsi="仿宋_GB2312" w:cs="仿宋_GB2312" w:eastAsia="仿宋_GB2312"/>
              </w:rPr>
              <w:t>1.（1分）运维管理制度，详细全面，专业可行赋【0，1】分； 2.（3分）制定尾水处理单元的巡查、维护保养、检修等方案计划，根据其内容的专业性、针对性、可操作性分别赋【0，1】分； 3.（4分）制定设备巡查、保养、维护、检修等方案计划，根据其内容的专业性、针对性、可操作性分别赋【0，1】分； 4.（5分）制定水质巡检、水质监测、数据记录分析、处置方法、报告提交等计划,根据其内容的专业性、针对性、可操作性分别赋【0，1】分； 5.（2分）运维器具配备，器具配备品种满足项目基本要求，每1项赋0.4分 （指水质检测仪、绿化器具、保洁器具、绿植护养药剂、救生防护用具等）。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运维管理方案.docx</w:t>
            </w:r>
          </w:p>
        </w:tc>
      </w:tr>
      <w:tr>
        <w:tc>
          <w:tcPr>
            <w:tcW w:type="dxa" w:w="831"/>
            <w:vMerge/>
          </w:tcPr>
          <w:p/>
        </w:tc>
        <w:tc>
          <w:tcPr>
            <w:tcW w:type="dxa" w:w="1661"/>
          </w:tcPr>
          <w:p>
            <w:pPr>
              <w:pStyle w:val="null3"/>
            </w:pPr>
            <w:r>
              <w:rPr>
                <w:rFonts w:ascii="仿宋_GB2312" w:hAnsi="仿宋_GB2312" w:cs="仿宋_GB2312" w:eastAsia="仿宋_GB2312"/>
              </w:rPr>
              <w:t>卫生保洁服务方案</w:t>
            </w:r>
          </w:p>
        </w:tc>
        <w:tc>
          <w:tcPr>
            <w:tcW w:type="dxa" w:w="2492"/>
          </w:tcPr>
          <w:p>
            <w:pPr>
              <w:pStyle w:val="null3"/>
            </w:pPr>
            <w:r>
              <w:rPr>
                <w:rFonts w:ascii="仿宋_GB2312" w:hAnsi="仿宋_GB2312" w:cs="仿宋_GB2312" w:eastAsia="仿宋_GB2312"/>
              </w:rPr>
              <w:t>1.（4分）制定湿地单元的防堵、防漏、防火、防隐患措施方案，根据其内容的专业性、针对性、可操作性分别赋【0，1】分； 2.（5分)制定植被的养护、修剪、补栽、病虫害防治、日常消杀计划方案，根据其内容的专业性、针对性、可操作性分别赋【0，1】分； 3.（2分）制定对设备卫生巡查、清洁计划，根据其内容的专业性、针对性、可操作性分别赋【0，1】分； 4.（2分）制定对地面卫生巡查、清洁计划，根据其内容的专业性、针对性、可操作性分别赋【0，1】分。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卫生保洁服务方案.docx</w:t>
            </w:r>
          </w:p>
        </w:tc>
      </w:tr>
      <w:tr>
        <w:tc>
          <w:tcPr>
            <w:tcW w:type="dxa" w:w="831"/>
            <w:vMerge/>
          </w:tcPr>
          <w:p/>
        </w:tc>
        <w:tc>
          <w:tcPr>
            <w:tcW w:type="dxa" w:w="1661"/>
          </w:tcPr>
          <w:p>
            <w:pPr>
              <w:pStyle w:val="null3"/>
            </w:pPr>
            <w:r>
              <w:rPr>
                <w:rFonts w:ascii="仿宋_GB2312" w:hAnsi="仿宋_GB2312" w:cs="仿宋_GB2312" w:eastAsia="仿宋_GB2312"/>
              </w:rPr>
              <w:t>安全环保方案</w:t>
            </w:r>
          </w:p>
        </w:tc>
        <w:tc>
          <w:tcPr>
            <w:tcW w:type="dxa" w:w="2492"/>
          </w:tcPr>
          <w:p>
            <w:pPr>
              <w:pStyle w:val="null3"/>
            </w:pPr>
            <w:r>
              <w:rPr>
                <w:rFonts w:ascii="仿宋_GB2312" w:hAnsi="仿宋_GB2312" w:cs="仿宋_GB2312" w:eastAsia="仿宋_GB2312"/>
              </w:rPr>
              <w:t>1.环境保护方案 2.安全预防及处置方案 3.危险作业操作方案 4.有毒有害废弃物的处置方案； 5.水质监测超标的工作流程； 6.湿地垃圾清运方案。 根据其内容的专业性、针对性、可操作性分别赋【0，1】分。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安全环保方案.docx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1、项目负责人（2分）：具备环境工程中级职称得1分，高级职称得2分； 2、运维人员（5分）：至少4人（至少包含电工1人，园林绿化工作人员1人，需提供电工专业资格证书），满足基本要求得2分，每增加1人加1.5分，最高加3分（不满足基本要求该项不加分）。 3、安保人员（5分）：至少4人，满足基本要求得2分，每增加1人加1.5分，最高加3分（须提供相关人员安保相关证明，未提供视为不满足）。 注：（以上拟派人员须提供身份证明且年龄不超过55岁、与供应商签订的劳动合同，未提供或不符合要求不得分。）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安保方案</w:t>
            </w:r>
          </w:p>
        </w:tc>
        <w:tc>
          <w:tcPr>
            <w:tcW w:type="dxa" w:w="2492"/>
          </w:tcPr>
          <w:p>
            <w:pPr>
              <w:pStyle w:val="null3"/>
            </w:pPr>
            <w:r>
              <w:rPr>
                <w:rFonts w:ascii="仿宋_GB2312" w:hAnsi="仿宋_GB2312" w:cs="仿宋_GB2312" w:eastAsia="仿宋_GB2312"/>
              </w:rPr>
              <w:t>1.安保工作管理制度； 2.安保工作内容及班岗计划； 3.日常巡逻计划； 4.安保事项预防及处置措施； 5.消防安全预防； 根据其内容的专业性、针对性、可操作性分别赋【0，2】分；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安保方案.docx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5分）针对停电、设备故障、火灾、溺水、社会人员闯入等突发事件制定应急预案（包含响应时间、到场时间、问题处置时间、处置流程等），根据其内容的专业性、针对性、可操作性分别赋【0，1】分；2.（3分）针对以上应急事项的整改措施，根据其内容的专业性、针对性、可操作性分别赋【0，0.6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人员培训教育</w:t>
            </w:r>
          </w:p>
        </w:tc>
        <w:tc>
          <w:tcPr>
            <w:tcW w:type="dxa" w:w="2492"/>
          </w:tcPr>
          <w:p>
            <w:pPr>
              <w:pStyle w:val="null3"/>
            </w:pPr>
            <w:r>
              <w:rPr>
                <w:rFonts w:ascii="仿宋_GB2312" w:hAnsi="仿宋_GB2312" w:cs="仿宋_GB2312" w:eastAsia="仿宋_GB2312"/>
              </w:rPr>
              <w:t>1.人员素养培训计划 2.专业技术培训计划 3.服务人员安全教育培训计划 4.安保人员法治培训计划 根据其内容的专业性、针对性、可操作性分别赋【0，1.5】分；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人员培训教育.docx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尾水湿地运维项目），（时间以合同签订时间为准。要求：至少包含合同首页、合同标的清单页、双方签字盖章页等，并在合同每页加盖供应商单位公章。若合同模糊或内容不全无法认定，则不计分），1份业绩得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业绩合同.docx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1）磋商基准价=最低的磋商最后报价，其价格分为 20分。 2）报价得分=磋商基准价/磋商最后报价×20。 3）四舍五入，取小数点后两位，不计负分。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详见附件：安保方案.docx</w:t>
      </w:r>
    </w:p>
    <w:p>
      <w:pPr>
        <w:pStyle w:val="null3"/>
        <w:ind w:firstLine="960"/>
      </w:pPr>
      <w:r>
        <w:rPr>
          <w:rFonts w:ascii="仿宋_GB2312" w:hAnsi="仿宋_GB2312" w:cs="仿宋_GB2312" w:eastAsia="仿宋_GB2312"/>
        </w:rPr>
        <w:t>详见附件：安全环保方案.docx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详见附件：财务报表或资信证明.docx</w:t>
      </w:r>
    </w:p>
    <w:p>
      <w:pPr>
        <w:pStyle w:val="null3"/>
        <w:ind w:firstLine="960"/>
      </w:pPr>
      <w:r>
        <w:rPr>
          <w:rFonts w:ascii="仿宋_GB2312" w:hAnsi="仿宋_GB2312" w:cs="仿宋_GB2312" w:eastAsia="仿宋_GB2312"/>
        </w:rPr>
        <w:t>详见附件：磋商保函格式.docx</w:t>
      </w:r>
    </w:p>
    <w:p>
      <w:pPr>
        <w:pStyle w:val="null3"/>
        <w:ind w:firstLine="960"/>
      </w:pPr>
      <w:r>
        <w:rPr>
          <w:rFonts w:ascii="仿宋_GB2312" w:hAnsi="仿宋_GB2312" w:cs="仿宋_GB2312" w:eastAsia="仿宋_GB2312"/>
        </w:rPr>
        <w:t>详见附件：磋商承诺.docx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详见附件：法定代表人资格证明.docx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详见附件：服务目标.docx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详见附件：禁止磋商情形承诺书.docx</w:t>
      </w:r>
    </w:p>
    <w:p>
      <w:pPr>
        <w:pStyle w:val="null3"/>
        <w:ind w:firstLine="960"/>
      </w:pPr>
      <w:r>
        <w:rPr>
          <w:rFonts w:ascii="仿宋_GB2312" w:hAnsi="仿宋_GB2312" w:cs="仿宋_GB2312" w:eastAsia="仿宋_GB2312"/>
        </w:rPr>
        <w:t>详见附件：人员培训教育.docx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详见附件：完税及社保缴纳凭证.docx</w:t>
      </w:r>
    </w:p>
    <w:p>
      <w:pPr>
        <w:pStyle w:val="null3"/>
        <w:ind w:firstLine="960"/>
      </w:pPr>
      <w:r>
        <w:rPr>
          <w:rFonts w:ascii="仿宋_GB2312" w:hAnsi="仿宋_GB2312" w:cs="仿宋_GB2312" w:eastAsia="仿宋_GB2312"/>
        </w:rPr>
        <w:t>详见附件：卫生保洁服务方案.docx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详见附件：信用截图.docx</w:t>
      </w:r>
    </w:p>
    <w:p>
      <w:pPr>
        <w:pStyle w:val="null3"/>
        <w:ind w:firstLine="960"/>
      </w:pPr>
      <w:r>
        <w:rPr>
          <w:rFonts w:ascii="仿宋_GB2312" w:hAnsi="仿宋_GB2312" w:cs="仿宋_GB2312" w:eastAsia="仿宋_GB2312"/>
        </w:rPr>
        <w:t>详见附件：业绩合同.docx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详见附件：运维管理方案.docx</w:t>
      </w:r>
    </w:p>
    <w:p>
      <w:pPr>
        <w:pStyle w:val="null3"/>
        <w:ind w:firstLine="960"/>
      </w:pPr>
      <w:r>
        <w:rPr>
          <w:rFonts w:ascii="仿宋_GB2312" w:hAnsi="仿宋_GB2312" w:cs="仿宋_GB2312" w:eastAsia="仿宋_GB2312"/>
        </w:rPr>
        <w:t>详见附件：政府采购法第二十二条承诺.docx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