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版本号：ZCSP-渭南市-2025-0069420250818001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应急现场救援指挥系统一期项目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ZCSP-渭南市-2025-00694</w:t>
      </w:r>
      <w:r>
        <w:br/>
      </w:r>
      <w:r>
        <w:br/>
      </w:r>
      <w:r>
        <w:br/>
      </w:r>
    </w:p>
    <w:p>
      <w:pPr>
        <w:pStyle w:val="null3"/>
        <w:jc w:val="center"/>
        <w:outlineLvl w:val="2"/>
      </w:pPr>
      <w:r>
        <w:rPr>
          <w:rFonts w:ascii="仿宋_GB2312" w:hAnsi="仿宋_GB2312" w:cs="仿宋_GB2312" w:eastAsia="仿宋_GB2312"/>
          <w:sz w:val="28"/>
          <w:b/>
        </w:rPr>
        <w:t>渭南市应急管理局</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渭南市应急管理局</w:t>
      </w:r>
      <w:r>
        <w:rPr>
          <w:rFonts w:ascii="仿宋_GB2312" w:hAnsi="仿宋_GB2312" w:cs="仿宋_GB2312" w:eastAsia="仿宋_GB2312"/>
        </w:rPr>
        <w:t>委托，拟对</w:t>
      </w:r>
      <w:r>
        <w:rPr>
          <w:rFonts w:ascii="仿宋_GB2312" w:hAnsi="仿宋_GB2312" w:cs="仿宋_GB2312" w:eastAsia="仿宋_GB2312"/>
        </w:rPr>
        <w:t>应急现场救援指挥系统一期项目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ZCSP-渭南市-2025-00694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应急现场救援指挥系统一期项目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应急现场救援指挥系统一期项目：集成我市森林草原，河流水库，道路交通，地质灾害，避难场所，直升机起降点、物资储备点、救援队伍、重点行业企业及安全生产相关等重要信息，构建形成一套信息化、科技化、现代化的应急指挥地理信息系统，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采购包1（应急现场救援指挥系统一期项目）：属于专门面向中小企业采购。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或事业单位法人证书等国家规定的相关证明，自然人参与的提供其身份证明：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财务状况报表：提供2023年度或2024年度经审计的财务报告，或提交自2024年11月1日以来其基本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3、税收缴纳证明：提供供应商2024年至今任意一个月已缴纳的完税凭证或税务机关开具的完税证明（任意税种），依法免税的单位应提供相关证明材料；</w:t>
      </w:r>
    </w:p>
    <w:p>
      <w:pPr>
        <w:pStyle w:val="null3"/>
      </w:pPr>
      <w:r>
        <w:rPr>
          <w:rFonts w:ascii="仿宋_GB2312" w:hAnsi="仿宋_GB2312" w:cs="仿宋_GB2312" w:eastAsia="仿宋_GB2312"/>
        </w:rPr>
        <w:t>4、社会保障资金缴纳证明：提供供应商2024年至今任意一个月的社会保障资金缴存单据或社保机构开具的社会保险参保缴费情况证明。依法不需要缴纳社会保障资金的供应商应提供相关证明文件；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5、声明书：提供具有履行本合同所必需的设备和专业技术能力的声明；</w:t>
      </w:r>
    </w:p>
    <w:p>
      <w:pPr>
        <w:pStyle w:val="null3"/>
      </w:pPr>
      <w:r>
        <w:rPr>
          <w:rFonts w:ascii="仿宋_GB2312" w:hAnsi="仿宋_GB2312" w:cs="仿宋_GB2312" w:eastAsia="仿宋_GB2312"/>
        </w:rPr>
        <w:t>6、声明书：出具参加政府采购活动前3年内在经营活动中没有重大违法记录的书面声明；</w:t>
      </w:r>
    </w:p>
    <w:p>
      <w:pPr>
        <w:pStyle w:val="null3"/>
      </w:pPr>
      <w:r>
        <w:rPr>
          <w:rFonts w:ascii="仿宋_GB2312" w:hAnsi="仿宋_GB2312" w:cs="仿宋_GB2312" w:eastAsia="仿宋_GB2312"/>
        </w:rPr>
        <w:t>7、法定代表人授权书：法定代表人授权书及被授权人身份证(法定代表人直接参加投标，须提交其身份证复印件及法定代表人身份证明)；</w:t>
      </w:r>
    </w:p>
    <w:p>
      <w:pPr>
        <w:pStyle w:val="null3"/>
      </w:pPr>
      <w:r>
        <w:rPr>
          <w:rFonts w:ascii="仿宋_GB2312" w:hAnsi="仿宋_GB2312" w:cs="仿宋_GB2312" w:eastAsia="仿宋_GB2312"/>
        </w:rPr>
        <w:t>8、信用截图：供应商不得为“信用中国”网站(www.creditchina.gov.cn)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p>
      <w:pPr>
        <w:pStyle w:val="null3"/>
      </w:pPr>
      <w:r>
        <w:rPr>
          <w:rFonts w:ascii="仿宋_GB2312" w:hAnsi="仿宋_GB2312" w:cs="仿宋_GB2312" w:eastAsia="仿宋_GB2312"/>
        </w:rPr>
        <w:t>9、联合体投标：本项目不接受联合体投标。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渭南市应急管理局经办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0913-2933395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西安曲江新区雁南五路曲江影视大厦19层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029-85495286 转 8009或15332361726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开户名称：嘉翔项目管理有限公司</w:t>
            </w:r>
          </w:p>
          <w:p>
            <w:pPr>
              <w:pStyle w:val="null3"/>
            </w:pPr>
            <w:r>
              <w:rPr>
                <w:rFonts w:ascii="仿宋_GB2312" w:hAnsi="仿宋_GB2312" w:cs="仿宋_GB2312" w:eastAsia="仿宋_GB2312"/>
              </w:rPr>
              <w:t>开户银行：中国建设银行股份有限公司西安八里村支行</w:t>
            </w:r>
          </w:p>
          <w:p>
            <w:pPr>
              <w:pStyle w:val="null3"/>
            </w:pPr>
            <w:r>
              <w:rPr>
                <w:rFonts w:ascii="仿宋_GB2312" w:hAnsi="仿宋_GB2312" w:cs="仿宋_GB2312" w:eastAsia="仿宋_GB2312"/>
              </w:rPr>
              <w:t>银行账号：61050172370000000288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计委关于印发《招标代理服务收费管理暂行办法》的通知（计价格[2002]1980号）、国家发展改革委《关于降低部分建设项目收费标准规范收费行为等有关问题的通知》（发改价格[2011]534号）”规定收费标准收取。结算时以项目成交价为基数，按照合同签订收取比例计算招标代理服务费，代理费不足3000元的，按3000元收取。 招标代理服务费收款账户信息： 招标代理机构开户名称：嘉翔项目管理有限公司 开户行名称：中国建设银行股份有限公司西安八里村支行 账号：61050172370000000288 转账附言： ZCSP-渭南市-2025-00694代理服务费 注：成交人支付招标代理服务费后，请将转账凭证、单位开票信息、发票收件人地址信息发至3363927373@qq.com，如有疑问，可致电029-85495286 转 8009</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渭南市应急管理局</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渭南市应急管理局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服务标准：符合国家现行技术规范合格标准。组成验收组按照合同约定和有关要求进行验收。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联系电话：029-85495286转8009</w:t>
      </w:r>
    </w:p>
    <w:p>
      <w:pPr>
        <w:pStyle w:val="null3"/>
      </w:pPr>
      <w:r>
        <w:rPr>
          <w:rFonts w:ascii="仿宋_GB2312" w:hAnsi="仿宋_GB2312" w:cs="仿宋_GB2312" w:eastAsia="仿宋_GB2312"/>
        </w:rPr>
        <w:t>地址：西安曲江新区雁南五路曲江影视大厦19层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应急现场救援指挥系统一期项目：集成我市森林草原，河流水库，道路交通，地质灾害，避难场所，直升机起降点、物资储备点、救援队伍、重点行业企业及安全生产相关等重要信息，构建形成一套信息化、科技化、现代化的应急指挥地理信息系统。</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应急现场救援指挥系统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标的名称：应急现场救援指挥系统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39"/>
              <w:gridCol w:w="262"/>
              <w:gridCol w:w="355"/>
              <w:gridCol w:w="1529"/>
              <w:gridCol w:w="274"/>
              <w:gridCol w:w="278"/>
              <w:gridCol w:w="243"/>
            </w:tblGrid>
            <w:tr>
              <w:tc>
                <w:tcPr>
                  <w:tcW w:type="dxa" w:w="2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模块</w:t>
                  </w:r>
                </w:p>
              </w:tc>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c>
                <w:tcPr>
                  <w:tcW w:type="dxa" w:w="15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内容</w:t>
                  </w:r>
                </w:p>
              </w:tc>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web系统</w:t>
                  </w:r>
                </w:p>
                <w:p>
                  <w:pPr>
                    <w:pStyle w:val="null3"/>
                    <w:jc w:val="left"/>
                  </w:pPr>
                </w:p>
              </w:tc>
              <w:tc>
                <w:tcPr>
                  <w:tcW w:type="dxa" w:w="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应急一张图</w:t>
                  </w:r>
                </w:p>
                <w:p>
                  <w:pPr>
                    <w:pStyle w:val="null3"/>
                    <w:jc w:val="center"/>
                  </w:p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基础地图展示</w:t>
                  </w:r>
                </w:p>
              </w:tc>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展示基础的地图，实现地图漫游、缩放、测面、测距、坐标拾取等基本功能</w:t>
                  </w:r>
                </w:p>
              </w:tc>
              <w:tc>
                <w:tcPr>
                  <w:tcW w:type="dxa" w:w="2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p>
                  <w:pPr>
                    <w:pStyle w:val="null3"/>
                    <w:jc w:val="left"/>
                  </w:pPr>
                </w:p>
              </w:tc>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p>
                  <w:pPr>
                    <w:pStyle w:val="null3"/>
                    <w:jc w:val="left"/>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9"/>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地图图层叠加</w:t>
                  </w:r>
                </w:p>
              </w:tc>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可叠加一个或多个地图图层，点击地图图层弹窗展示属性信息</w:t>
                  </w:r>
                </w:p>
              </w:tc>
              <w:tc>
                <w:tcPr>
                  <w:tcW w:type="dxa" w:w="274"/>
                  <w:vMerge/>
                  <w:tcBorders>
                    <w:top w:val="none" w:color="000000" w:sz="4"/>
                    <w:left w:val="single" w:color="000000" w:sz="4"/>
                    <w:bottom w:val="single" w:color="000000" w:sz="4"/>
                    <w:right w:val="single" w:color="000000" w:sz="4"/>
                  </w:tcBorders>
                </w:tcPr>
                <w:p/>
              </w:tc>
              <w:tc>
                <w:tcPr>
                  <w:tcW w:type="dxa" w:w="278"/>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9"/>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图层分析</w:t>
                  </w:r>
                </w:p>
              </w:tc>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通过行政区划、缓冲区、自定义范围三种维度，同时按照自定义属性对所选图层进行分析，分析结果以列表、图表等形式进行呈现</w:t>
                  </w:r>
                </w:p>
              </w:tc>
              <w:tc>
                <w:tcPr>
                  <w:tcW w:type="dxa" w:w="274"/>
                  <w:vMerge/>
                  <w:tcBorders>
                    <w:top w:val="none" w:color="000000" w:sz="4"/>
                    <w:left w:val="single" w:color="000000" w:sz="4"/>
                    <w:bottom w:val="single" w:color="000000" w:sz="4"/>
                    <w:right w:val="single" w:color="000000" w:sz="4"/>
                  </w:tcBorders>
                </w:tcPr>
                <w:p/>
              </w:tc>
              <w:tc>
                <w:tcPr>
                  <w:tcW w:type="dxa" w:w="278"/>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9"/>
                  <w:vMerge/>
                  <w:tcBorders>
                    <w:top w:val="none" w:color="000000" w:sz="4"/>
                    <w:left w:val="single" w:color="000000" w:sz="4"/>
                    <w:bottom w:val="single" w:color="000000" w:sz="4"/>
                    <w:right w:val="single" w:color="000000" w:sz="4"/>
                  </w:tcBorders>
                </w:tcPr>
                <w:p/>
              </w:tc>
              <w:tc>
                <w:tcPr>
                  <w:tcW w:type="dxa" w:w="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可及性分析</w:t>
                  </w:r>
                </w:p>
                <w:p>
                  <w:pPr>
                    <w:pStyle w:val="null3"/>
                    <w:jc w:val="center"/>
                  </w:p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可及性分析</w:t>
                  </w:r>
                </w:p>
              </w:tc>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通过选择灾害发生点、救援到达的时间、救援速度、救援队伍等信息，在地图上展示符合条件的救援队伍，弹窗展示队伍的救援能力、联系方式等信息。</w:t>
                  </w:r>
                </w:p>
              </w:tc>
              <w:tc>
                <w:tcPr>
                  <w:tcW w:type="dxa" w:w="274"/>
                  <w:vMerge/>
                  <w:tcBorders>
                    <w:top w:val="none" w:color="000000" w:sz="4"/>
                    <w:left w:val="single" w:color="000000" w:sz="4"/>
                    <w:bottom w:val="single" w:color="000000" w:sz="4"/>
                    <w:right w:val="single" w:color="000000" w:sz="4"/>
                  </w:tcBorders>
                </w:tcPr>
                <w:p/>
              </w:tc>
              <w:tc>
                <w:tcPr>
                  <w:tcW w:type="dxa" w:w="278"/>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9"/>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救援路线规划</w:t>
                  </w:r>
                </w:p>
              </w:tc>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通过点击救援队伍，查看系统规划的救援路线。</w:t>
                  </w:r>
                </w:p>
              </w:tc>
              <w:tc>
                <w:tcPr>
                  <w:tcW w:type="dxa" w:w="274"/>
                  <w:vMerge/>
                  <w:tcBorders>
                    <w:top w:val="none" w:color="000000" w:sz="4"/>
                    <w:left w:val="single" w:color="000000" w:sz="4"/>
                    <w:bottom w:val="single" w:color="000000" w:sz="4"/>
                    <w:right w:val="single" w:color="000000" w:sz="4"/>
                  </w:tcBorders>
                </w:tcPr>
                <w:p/>
              </w:tc>
              <w:tc>
                <w:tcPr>
                  <w:tcW w:type="dxa" w:w="278"/>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9"/>
                  <w:vMerge/>
                  <w:tcBorders>
                    <w:top w:val="none" w:color="000000" w:sz="4"/>
                    <w:left w:val="single" w:color="000000" w:sz="4"/>
                    <w:bottom w:val="single" w:color="000000" w:sz="4"/>
                    <w:right w:val="single" w:color="000000" w:sz="4"/>
                  </w:tcBorders>
                </w:tcPr>
                <w:p/>
              </w:tc>
              <w:tc>
                <w:tcPr>
                  <w:tcW w:type="dxa" w:w="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图层管理</w:t>
                  </w:r>
                </w:p>
                <w:p>
                  <w:pPr>
                    <w:pStyle w:val="null3"/>
                    <w:jc w:val="center"/>
                  </w:p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图层管理</w:t>
                  </w:r>
                </w:p>
              </w:tc>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配置图层字段别名、统计字段、字段类型等信息，配置完成后可在应急一张图中进行展示分析</w:t>
                  </w:r>
                </w:p>
              </w:tc>
              <w:tc>
                <w:tcPr>
                  <w:tcW w:type="dxa" w:w="274"/>
                  <w:vMerge/>
                  <w:tcBorders>
                    <w:top w:val="none" w:color="000000" w:sz="4"/>
                    <w:left w:val="single" w:color="000000" w:sz="4"/>
                    <w:bottom w:val="single" w:color="000000" w:sz="4"/>
                    <w:right w:val="single" w:color="000000" w:sz="4"/>
                  </w:tcBorders>
                </w:tcPr>
                <w:p/>
              </w:tc>
              <w:tc>
                <w:tcPr>
                  <w:tcW w:type="dxa" w:w="278"/>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9"/>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导入导出</w:t>
                  </w:r>
                </w:p>
              </w:tc>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支持导入导出为</w:t>
                  </w:r>
                  <w:r>
                    <w:rPr>
                      <w:rFonts w:ascii="仿宋_GB2312" w:hAnsi="仿宋_GB2312" w:cs="仿宋_GB2312" w:eastAsia="仿宋_GB2312"/>
                      <w:sz w:val="21"/>
                      <w:color w:val="000000"/>
                    </w:rPr>
                    <w:t>excel，同时支持与省级平台的字段关联。通过导入导出功能，实现与省级平台进行业务对接的能力，同时方便快速进行系统数据的录入</w:t>
                  </w:r>
                </w:p>
              </w:tc>
              <w:tc>
                <w:tcPr>
                  <w:tcW w:type="dxa" w:w="274"/>
                  <w:vMerge/>
                  <w:tcBorders>
                    <w:top w:val="none" w:color="000000" w:sz="4"/>
                    <w:left w:val="single" w:color="000000" w:sz="4"/>
                    <w:bottom w:val="single" w:color="000000" w:sz="4"/>
                    <w:right w:val="single" w:color="000000" w:sz="4"/>
                  </w:tcBorders>
                </w:tcPr>
                <w:p/>
              </w:tc>
              <w:tc>
                <w:tcPr>
                  <w:tcW w:type="dxa" w:w="278"/>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9"/>
                  <w:vMerge/>
                  <w:tcBorders>
                    <w:top w:val="none" w:color="000000" w:sz="4"/>
                    <w:left w:val="single" w:color="000000" w:sz="4"/>
                    <w:bottom w:val="single" w:color="000000" w:sz="4"/>
                    <w:right w:val="single" w:color="000000" w:sz="4"/>
                  </w:tcBorders>
                </w:tcPr>
                <w:p/>
              </w:tc>
              <w:tc>
                <w:tcPr>
                  <w:tcW w:type="dxa" w:w="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后台管理</w:t>
                  </w:r>
                </w:p>
                <w:p>
                  <w:pPr>
                    <w:pStyle w:val="null3"/>
                    <w:jc w:val="center"/>
                  </w:p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用户管理</w:t>
                  </w:r>
                </w:p>
              </w:tc>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管理系统中的用户，包括分配角色、修改密码等功能</w:t>
                  </w:r>
                </w:p>
              </w:tc>
              <w:tc>
                <w:tcPr>
                  <w:tcW w:type="dxa" w:w="274"/>
                  <w:vMerge/>
                  <w:tcBorders>
                    <w:top w:val="none" w:color="000000" w:sz="4"/>
                    <w:left w:val="single" w:color="000000" w:sz="4"/>
                    <w:bottom w:val="single" w:color="000000" w:sz="4"/>
                    <w:right w:val="single" w:color="000000" w:sz="4"/>
                  </w:tcBorders>
                </w:tcPr>
                <w:p/>
              </w:tc>
              <w:tc>
                <w:tcPr>
                  <w:tcW w:type="dxa" w:w="278"/>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9"/>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角色管理</w:t>
                  </w:r>
                </w:p>
              </w:tc>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管理系统中的角色，包括分配角色的数据权限、菜单权限等功能</w:t>
                  </w:r>
                </w:p>
              </w:tc>
              <w:tc>
                <w:tcPr>
                  <w:tcW w:type="dxa" w:w="274"/>
                  <w:vMerge/>
                  <w:tcBorders>
                    <w:top w:val="none" w:color="000000" w:sz="4"/>
                    <w:left w:val="single" w:color="000000" w:sz="4"/>
                    <w:bottom w:val="single" w:color="000000" w:sz="4"/>
                    <w:right w:val="single" w:color="000000" w:sz="4"/>
                  </w:tcBorders>
                </w:tcPr>
                <w:p/>
              </w:tc>
              <w:tc>
                <w:tcPr>
                  <w:tcW w:type="dxa" w:w="278"/>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9"/>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日志管理</w:t>
                  </w:r>
                </w:p>
              </w:tc>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管理系统中的日志信息，可按登录日志、操作日志维度查看</w:t>
                  </w:r>
                </w:p>
              </w:tc>
              <w:tc>
                <w:tcPr>
                  <w:tcW w:type="dxa" w:w="274"/>
                  <w:vMerge/>
                  <w:tcBorders>
                    <w:top w:val="none" w:color="000000" w:sz="4"/>
                    <w:left w:val="single" w:color="000000" w:sz="4"/>
                    <w:bottom w:val="single" w:color="000000" w:sz="4"/>
                    <w:right w:val="single" w:color="000000" w:sz="4"/>
                  </w:tcBorders>
                </w:tcPr>
                <w:p/>
              </w:tc>
              <w:tc>
                <w:tcPr>
                  <w:tcW w:type="dxa" w:w="278"/>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移动</w:t>
                  </w:r>
                  <w:r>
                    <w:rPr>
                      <w:rFonts w:ascii="仿宋_GB2312" w:hAnsi="仿宋_GB2312" w:cs="仿宋_GB2312" w:eastAsia="仿宋_GB2312"/>
                      <w:sz w:val="21"/>
                      <w:color w:val="000000"/>
                    </w:rPr>
                    <w:t>app</w:t>
                  </w:r>
                </w:p>
                <w:p>
                  <w:pPr>
                    <w:pStyle w:val="null3"/>
                    <w:jc w:val="left"/>
                  </w:pPr>
                </w:p>
              </w:tc>
              <w:tc>
                <w:tcPr>
                  <w:tcW w:type="dxa" w:w="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应急一张图</w:t>
                  </w:r>
                </w:p>
                <w:p>
                  <w:pPr>
                    <w:pStyle w:val="null3"/>
                    <w:jc w:val="center"/>
                  </w:p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基础地图展示</w:t>
                  </w:r>
                </w:p>
              </w:tc>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在移动端</w:t>
                  </w:r>
                  <w:r>
                    <w:rPr>
                      <w:rFonts w:ascii="仿宋_GB2312" w:hAnsi="仿宋_GB2312" w:cs="仿宋_GB2312" w:eastAsia="仿宋_GB2312"/>
                      <w:sz w:val="21"/>
                      <w:color w:val="000000"/>
                    </w:rPr>
                    <w:t>app上展示基础的地图，实现地图漫游、缩放、测面、测距、坐标拾取等基本功能</w:t>
                  </w:r>
                </w:p>
              </w:tc>
              <w:tc>
                <w:tcPr>
                  <w:tcW w:type="dxa" w:w="27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p>
                  <w:pPr>
                    <w:pStyle w:val="null3"/>
                    <w:jc w:val="left"/>
                  </w:pPr>
                </w:p>
              </w:tc>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p>
                  <w:pPr>
                    <w:pStyle w:val="null3"/>
                    <w:jc w:val="left"/>
                  </w:p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39"/>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地图图层叠加</w:t>
                  </w:r>
                </w:p>
              </w:tc>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在移动端</w:t>
                  </w:r>
                  <w:r>
                    <w:rPr>
                      <w:rFonts w:ascii="仿宋_GB2312" w:hAnsi="仿宋_GB2312" w:cs="仿宋_GB2312" w:eastAsia="仿宋_GB2312"/>
                      <w:sz w:val="21"/>
                      <w:color w:val="000000"/>
                    </w:rPr>
                    <w:t>app上叠加一个或多个地图图层，点击地图图层展示属性信息</w:t>
                  </w:r>
                </w:p>
              </w:tc>
              <w:tc>
                <w:tcPr>
                  <w:tcW w:type="dxa" w:w="274"/>
                  <w:vMerge/>
                  <w:tcBorders>
                    <w:top w:val="none" w:color="000000" w:sz="4"/>
                    <w:left w:val="single" w:color="000000" w:sz="4"/>
                    <w:bottom w:val="single" w:color="000000" w:sz="4"/>
                    <w:right w:val="single" w:color="000000" w:sz="4"/>
                  </w:tcBorders>
                </w:tcPr>
                <w:p/>
              </w:tc>
              <w:tc>
                <w:tcPr>
                  <w:tcW w:type="dxa" w:w="278"/>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9"/>
                  <w:vMerge/>
                  <w:tcBorders>
                    <w:top w:val="none" w:color="000000" w:sz="4"/>
                    <w:left w:val="single" w:color="000000" w:sz="4"/>
                    <w:bottom w:val="single" w:color="000000" w:sz="4"/>
                    <w:right w:val="single" w:color="000000" w:sz="4"/>
                  </w:tcBorders>
                </w:tcPr>
                <w:p/>
              </w:tc>
              <w:tc>
                <w:tcPr>
                  <w:tcW w:type="dxa" w:w="26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可及性分析</w:t>
                  </w:r>
                </w:p>
                <w:p>
                  <w:pPr>
                    <w:pStyle w:val="null3"/>
                    <w:jc w:val="center"/>
                  </w:p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可及性分析</w:t>
                  </w:r>
                </w:p>
              </w:tc>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在移动端</w:t>
                  </w:r>
                  <w:r>
                    <w:rPr>
                      <w:rFonts w:ascii="仿宋_GB2312" w:hAnsi="仿宋_GB2312" w:cs="仿宋_GB2312" w:eastAsia="仿宋_GB2312"/>
                      <w:sz w:val="21"/>
                      <w:color w:val="000000"/>
                    </w:rPr>
                    <w:t>app选择灾害发生点、救援到达的时间、救援速度、救援队伍等信息，在地图上展示符合条件的救援队伍，同时列表展示具体队伍的救援能力、联系方式等信息。</w:t>
                  </w:r>
                </w:p>
              </w:tc>
              <w:tc>
                <w:tcPr>
                  <w:tcW w:type="dxa" w:w="274"/>
                  <w:vMerge/>
                  <w:tcBorders>
                    <w:top w:val="none" w:color="000000" w:sz="4"/>
                    <w:left w:val="single" w:color="000000" w:sz="4"/>
                    <w:bottom w:val="single" w:color="000000" w:sz="4"/>
                    <w:right w:val="single" w:color="000000" w:sz="4"/>
                  </w:tcBorders>
                </w:tcPr>
                <w:p/>
              </w:tc>
              <w:tc>
                <w:tcPr>
                  <w:tcW w:type="dxa" w:w="278"/>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9"/>
                  <w:vMerge/>
                  <w:tcBorders>
                    <w:top w:val="none" w:color="000000" w:sz="4"/>
                    <w:left w:val="single" w:color="000000" w:sz="4"/>
                    <w:bottom w:val="single" w:color="000000" w:sz="4"/>
                    <w:right w:val="single" w:color="000000" w:sz="4"/>
                  </w:tcBorders>
                </w:tcPr>
                <w:p/>
              </w:tc>
              <w:tc>
                <w:tcPr>
                  <w:tcW w:type="dxa" w:w="262"/>
                  <w:vMerge/>
                  <w:tcBorders>
                    <w:top w:val="none" w:color="000000" w:sz="4"/>
                    <w:left w:val="single" w:color="000000" w:sz="4"/>
                    <w:bottom w:val="single" w:color="000000" w:sz="4"/>
                    <w:right w:val="single" w:color="000000" w:sz="4"/>
                  </w:tcBorders>
                </w:tcP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救援路线规划</w:t>
                  </w:r>
                </w:p>
              </w:tc>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在移动端</w:t>
                  </w:r>
                  <w:r>
                    <w:rPr>
                      <w:rFonts w:ascii="仿宋_GB2312" w:hAnsi="仿宋_GB2312" w:cs="仿宋_GB2312" w:eastAsia="仿宋_GB2312"/>
                      <w:sz w:val="21"/>
                      <w:color w:val="000000"/>
                    </w:rPr>
                    <w:t>app点击队伍信息，查看系统规划的救援路线。</w:t>
                  </w:r>
                </w:p>
              </w:tc>
              <w:tc>
                <w:tcPr>
                  <w:tcW w:type="dxa" w:w="274"/>
                  <w:vMerge/>
                  <w:tcBorders>
                    <w:top w:val="none" w:color="000000" w:sz="4"/>
                    <w:left w:val="single" w:color="000000" w:sz="4"/>
                    <w:bottom w:val="single" w:color="000000" w:sz="4"/>
                    <w:right w:val="single" w:color="000000" w:sz="4"/>
                  </w:tcBorders>
                </w:tcPr>
                <w:p/>
              </w:tc>
              <w:tc>
                <w:tcPr>
                  <w:tcW w:type="dxa" w:w="278"/>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9"/>
                  <w:vMerge/>
                  <w:tcBorders>
                    <w:top w:val="none" w:color="000000" w:sz="4"/>
                    <w:left w:val="single" w:color="000000" w:sz="4"/>
                    <w:bottom w:val="single" w:color="000000" w:sz="4"/>
                    <w:right w:val="single" w:color="000000" w:sz="4"/>
                  </w:tcBorders>
                </w:tcP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当前路线规划</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当前路线规划</w:t>
                  </w:r>
                </w:p>
              </w:tc>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通过获取移动设备当前位置，规划当前位置到灾害发生位置的路线，方便应急人员前往现场进行指挥。包含驾车路线、步行路线等方式</w:t>
                  </w:r>
                </w:p>
              </w:tc>
              <w:tc>
                <w:tcPr>
                  <w:tcW w:type="dxa" w:w="274"/>
                  <w:vMerge/>
                  <w:tcBorders>
                    <w:top w:val="none" w:color="000000" w:sz="4"/>
                    <w:left w:val="single" w:color="000000" w:sz="4"/>
                    <w:bottom w:val="single" w:color="000000" w:sz="4"/>
                    <w:right w:val="single" w:color="000000" w:sz="4"/>
                  </w:tcBorders>
                </w:tcPr>
                <w:p/>
              </w:tc>
              <w:tc>
                <w:tcPr>
                  <w:tcW w:type="dxa" w:w="278"/>
                  <w:vMerge/>
                  <w:tcBorders>
                    <w:top w:val="none" w:color="000000" w:sz="4"/>
                    <w:left w:val="single" w:color="000000" w:sz="4"/>
                    <w:bottom w:val="single" w:color="000000" w:sz="4"/>
                    <w:right w:val="single" w:color="000000" w:sz="4"/>
                  </w:tcBorders>
                </w:tcP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2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数据处理</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15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将收集到的各类业务数据和影像地图地图数据进行处理发布</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服务方按项目服务要求及特点，建立以项目负责人为核心的履行合同所必需人员团队，保证项目顺利实施，详见评审办法。</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1）服务范围：应急现场救援指挥系统一期项目技术参数与性能指标内所有内容 2）服务要求：项目质量符合国家现行技术规范合格标准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建设期限：合同签订之日起30日历天开发完成；服务期限：试运行两个月无问题经验收合格后一年。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服务标准：符合国家现行技术规范合格标准。组成验收组按照合同约定和有关要求进行验收。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履约完成且经采购人验收合格后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一、运维质保期一年。 二、供应商的磋商报价是供应商响应磋商项目要求的全部工作内容的价格体现，合同金额即中成交价，合同价格为含税价，乙方提供服务所发生的一切费用（包括人工费、设备费、管理费、利润、税金、风险及完成工作准备阶段、实施阶段、完成本项目所需的全部费用）等都已包含于合同价款中。在提供服务的过程中的任何遗漏，均由成交供应商免费提供，采购人将不再支付任何费用。 三、采购标的对应的中小企业划分标准所属行业为软件和信息技术服务业。软件和信息技术服务业的划型标准为：从业人员300人以下或营业收入10000万元以下的为中小微型企业。从业人员100人及以上，且营业收入1000万元及以上的为中型企业；从业人员10人及以上，且营业收入50万元及以上的为小型企业；从业人员10人以下或营业收入50万元以下的为微型企业。 四、合格供应商少于3家的处理 1.评审过程中，若出现合格供应商只有2家时，符合《政府采购竞争性磋商采购方式管理暂行办法》第3条第4项情形的，或者本项目为政府购买服务指导性目录中的，可以继续进行；只有1家时，采购人应依法重新组织采购活动。2.评审过程中，除符合第1条条款规定情形外，若出现合格供应商少于3家时，采购人应依法重新组织采购活动。 五、成交供应商在领取成交通知书时提供纸质版投标文件两套，应通过专用制作软件直接打印，确保与电子投标文件保持一致，不允许修改和补充。提交地点：西安曲江新区雁南五路曲江影视大厦19层。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营业执照或事业单位法人证书等国家规定的相关证明，自然人参与的提供其身份证明</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2023年度或2024年度经审计的财务报告，或提交自2024年11月1日以来其基本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提供供应商2024年至今任意一个月已缴纳的完税凭证或税务机关开具的完税证明（任意税种），依法免税的单位应提供相关证明材料；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提供供应商2024年至今任意一个月的社会保障资金缴存单据或社保机构开具的社会保险参保缴费情况证明。依法不需要缴纳社会保障资金的供应商应提供相关证明文件；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声明书</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法定代表人授权书及被授权人身份证(法定代表人直接参加投标，须提交其身份证复印件及法定代表人身份证明)；</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 中列入重大税收违法失信主体、供应商不得为中国执行信息公开网（http://zxgk.court.gov.cn/shixin/）中列入失信被执行人名单、不得为“中国政府采购网”（www.ccgp.gov.cn）政府采购严重违法失信行为记录名单中被财政部门禁止参加政府采购活动的供应商（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 其他</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 其他</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响应文件上法定代表人或其委托代理人的签名齐全并加盖单位章</w:t>
            </w:r>
          </w:p>
        </w:tc>
        <w:tc>
          <w:tcPr>
            <w:tcW w:type="dxa" w:w="1661"/>
          </w:tcPr>
          <w:p>
            <w:pPr>
              <w:pStyle w:val="null3"/>
            </w:pPr>
            <w:r>
              <w:rPr>
                <w:rFonts w:ascii="仿宋_GB2312" w:hAnsi="仿宋_GB2312" w:cs="仿宋_GB2312" w:eastAsia="仿宋_GB2312"/>
              </w:rPr>
              <w:t>响应文件封面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应符合“响应文件格式”要求（不得因文件排序等非实质性的格式、形式问题限制和影响供应商响应)</w:t>
            </w:r>
          </w:p>
        </w:tc>
        <w:tc>
          <w:tcPr>
            <w:tcW w:type="dxa" w:w="1661"/>
          </w:tcPr>
          <w:p>
            <w:pPr>
              <w:pStyle w:val="null3"/>
            </w:pPr>
            <w:r>
              <w:rPr>
                <w:rFonts w:ascii="仿宋_GB2312" w:hAnsi="仿宋_GB2312" w:cs="仿宋_GB2312" w:eastAsia="仿宋_GB2312"/>
              </w:rPr>
              <w:t>响应文件封面 中小企业声明函 残疾人福利性单位声明函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只能有一个有效报价，不得提交选择性报价，且报价不超过预算金额或最高限价或磋商小组认为低于成本价的报价。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磋商保证金缴纳凭证及退还申请表 其他</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响应情况</w:t>
            </w:r>
          </w:p>
        </w:tc>
        <w:tc>
          <w:tcPr>
            <w:tcW w:type="dxa" w:w="3322"/>
          </w:tcPr>
          <w:p>
            <w:pPr>
              <w:pStyle w:val="null3"/>
            </w:pPr>
            <w:r>
              <w:rPr>
                <w:rFonts w:ascii="仿宋_GB2312" w:hAnsi="仿宋_GB2312" w:cs="仿宋_GB2312" w:eastAsia="仿宋_GB2312"/>
              </w:rPr>
              <w:t>应满足竞争性磋商文件要求，响应文件未含有采购人不能接受的附加条件，且无其他无效标的情形。</w:t>
            </w:r>
          </w:p>
        </w:tc>
        <w:tc>
          <w:tcPr>
            <w:tcW w:type="dxa" w:w="1661"/>
          </w:tcPr>
          <w:p>
            <w:pPr>
              <w:pStyle w:val="null3"/>
            </w:pPr>
            <w:r>
              <w:rPr>
                <w:rFonts w:ascii="仿宋_GB2312" w:hAnsi="仿宋_GB2312" w:cs="仿宋_GB2312" w:eastAsia="仿宋_GB2312"/>
              </w:rPr>
              <w:t>商务应答表 服务内容及服务要求应答表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商务部分</w:t>
            </w:r>
          </w:p>
        </w:tc>
        <w:tc>
          <w:tcPr>
            <w:tcW w:type="dxa" w:w="2492"/>
          </w:tcPr>
          <w:p>
            <w:pPr>
              <w:pStyle w:val="null3"/>
            </w:pPr>
            <w:r>
              <w:rPr>
                <w:rFonts w:ascii="仿宋_GB2312" w:hAnsi="仿宋_GB2312" w:cs="仿宋_GB2312" w:eastAsia="仿宋_GB2312"/>
              </w:rPr>
              <w:t>1、供应商对服务地点、运维质保期、付款方式、验收等商务要求进行响应，完全响应的5分，无响应不得分。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供应商提供针对本项目的总体实施方案，内容包括但不限于：①项目计划安排；②项目质量保障措施；③项目需求分析；④项目重、难点分析。2、评审标准 ①完整性：方案须全面，对评审内容中的各项要求有详细描述及说明； ②可实施性：切合本项目实际情况，实施步骤清晰、合理； ③针对性：方案能够紧扣项目实际情况，内容科学合理。3、赋分标准 ①项目计划安排：每满足一项评审标准得1分，满分3分； ②项目质量保障措施：每满足一项评审标准得1分，满分3分； ③项目需求分析：每满足一项评审标准得2分，满分6分；④项目重、难点分析：每满足一项评审标准得1分，满分3分。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技术服务方案</w:t>
            </w:r>
          </w:p>
        </w:tc>
        <w:tc>
          <w:tcPr>
            <w:tcW w:type="dxa" w:w="2492"/>
          </w:tcPr>
          <w:p>
            <w:pPr>
              <w:pStyle w:val="null3"/>
            </w:pPr>
            <w:r>
              <w:rPr>
                <w:rFonts w:ascii="仿宋_GB2312" w:hAnsi="仿宋_GB2312" w:cs="仿宋_GB2312" w:eastAsia="仿宋_GB2312"/>
              </w:rPr>
              <w:t>1、评审内容 供应商提供针对本项目的技术服务方案，内容包括但不限于：①项目开发建设方案；②测试、调试上线使用方案；③进度保障组织方案；④售后服务支持能力和承诺。2、评审标准 ①完整性：方案及相关措施内容全面，对评审内容中的各项要求有详细描述及说明； ②可实施性：方案及相关措施科学合理，可操作性强； ③针对性：方案及相关措施能紧扣本项目实际情况，满足本项目各项具体要求。 3、赋分标准 ①项目开发建设方案：每满足一项评审标准得2分，满分6分；②测试、调试上线使用方案：每满足一项评审标准得2分，满分6分； ③进度保障组织方案：每满足一项评审标准得2分，满分6分。④售后服务支持能力和承诺：每满足一项评审标准得2分，满分6分。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安全保密措施</w:t>
            </w:r>
          </w:p>
        </w:tc>
        <w:tc>
          <w:tcPr>
            <w:tcW w:type="dxa" w:w="2492"/>
          </w:tcPr>
          <w:p>
            <w:pPr>
              <w:pStyle w:val="null3"/>
            </w:pPr>
            <w:r>
              <w:rPr>
                <w:rFonts w:ascii="仿宋_GB2312" w:hAnsi="仿宋_GB2312" w:cs="仿宋_GB2312" w:eastAsia="仿宋_GB2312"/>
              </w:rPr>
              <w:t>1、评审内容 供应商提供提供针对本项目制定专项保密措施方案，内容包括但不限于：①项目风险识别与应对措施；②保密承诺。2、评审标准 ①完整性：方案及相关措施内容全面，对评审内容中的各项要求有详细描述及说明； ②可实施性：方案及相关措施科学合理，可操作性强； ③针对性：方案及相关措施能紧扣本项目实际情况，满足本项目各项具体要求。 3、赋分标准①项目风险识别与应对措施:每满足一项评审标准得1分，满分3分；②保密承诺:每满足一项评审标准得1分，满分3分.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1、评审内容 提供针对本项目的应急预案，项目实施过程中针对突发事件和重大业务时间节点的风险防范措施及应急突发事件的处理预案。 2、评审标准 ①完整性：措施须全面，对评审内容中的各项要求有详细描述及说明； ②可实施性：切合本项目实际情况，实施步骤清晰、合理； ③针对性：措施能够紧扣项目实际情况，内容科学合理。 3、赋分标准 每完全满足一项评审标准得2分，满分6分。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1、评审内容 供应商根据本项目涉及系统操作的实际需求提供培训方案，确保使用人员能够独立熟练操作和简单维护，内容包括但不限于： ①培训计划； ②培训方式及内容。 2、评审标准 ①完整性：方案须全面，对评审内容中的各项要求有详细描述及说明； ②可实施性：切合本项目实际情况，步骤清晰、合理，操作性强； ③针对性：方案能够紧扣项目实际情况，内容科学合理。 3、赋分标准 ①培训计划：每满足一项评审标准得1.5分，满分4.5分； ②培训方式及内容：每满足一项评审标准得1.5分，满分4.5分。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项目服务方案</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1）项目经理具有PMP项目管理认证证书得3分； 2）项目团队有GIS地理信息相关专业硕士学历及以上学历人员，每位得1分，具有GIS地理信息相关专业毕业本科人员，每位得0.5分，本项最多得3分。 注:(1)提供近三个月内的社保缴纳证明;(2)提供服务团队人员名单及相关证书扫描件加盖供应商公章，人员不重复计分。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项目团队人员</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供应商具有应急、GIS地理信息系统相关软件著作权证书，每提供1个得1分，满分3分，提供证书复印件加盖公章。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企业实力</w:t>
            </w:r>
          </w:p>
          <w:p>
            <w:pPr>
              <w:pStyle w:val="null3"/>
            </w:pPr>
            <w:r>
              <w:rPr>
                <w:rFonts w:ascii="仿宋_GB2312" w:hAnsi="仿宋_GB2312" w:cs="仿宋_GB2312" w:eastAsia="仿宋_GB2312"/>
              </w:rPr>
              <w:t>其他</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供应商类似项目（合同服务内容包括应急管理、地理信息、空间分析等系统开发）的业绩合同（以合同签订日期为准），附中标通知书或业绩合同复印件加盖公章，每提供一个业绩得2分，满分6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其他</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价格分采用低价优先法计算，即满足磋商文件要求且投标价格最低的投标报价为评审基准价，其价格分为满分。其他投标人的价格分统一 按照下列公式计算：投标报价得分 =（评审基准价/磋商报价）×价格权值×20分。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详见附件：项目服务方案</w:t>
      </w:r>
    </w:p>
    <w:p>
      <w:pPr>
        <w:pStyle w:val="null3"/>
        <w:ind w:firstLine="960"/>
      </w:pPr>
      <w:r>
        <w:rPr>
          <w:rFonts w:ascii="仿宋_GB2312" w:hAnsi="仿宋_GB2312" w:cs="仿宋_GB2312" w:eastAsia="仿宋_GB2312"/>
        </w:rPr>
        <w:t>详见附件：项目团队人员</w:t>
      </w:r>
    </w:p>
    <w:p>
      <w:pPr>
        <w:pStyle w:val="null3"/>
        <w:ind w:firstLine="960"/>
      </w:pPr>
      <w:r>
        <w:rPr>
          <w:rFonts w:ascii="仿宋_GB2312" w:hAnsi="仿宋_GB2312" w:cs="仿宋_GB2312" w:eastAsia="仿宋_GB2312"/>
        </w:rPr>
        <w:t>详见附件：企业实力</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详见附件：其他</w:t>
      </w:r>
    </w:p>
    <w:p>
      <w:pPr>
        <w:pStyle w:val="null3"/>
        <w:ind w:firstLine="960"/>
      </w:pPr>
      <w:r>
        <w:rPr>
          <w:rFonts w:ascii="仿宋_GB2312" w:hAnsi="仿宋_GB2312" w:cs="仿宋_GB2312" w:eastAsia="仿宋_GB2312"/>
        </w:rPr>
        <w:t>详见附件：磋商保证金缴纳凭证及退还申请表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详见附件：第八章 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