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版本号：ZCSP-渭南市-2025-00697、XHLJZC-WN2025-09920250821002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AI人工智能大模型OCR智能识别系统建设项目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ZCSP-渭南市-2025-00697、XHLJZC-WN2025-099</w:t>
      </w:r>
      <w:r>
        <w:br/>
      </w:r>
      <w:r>
        <w:br/>
      </w:r>
      <w:r>
        <w:br/>
      </w:r>
    </w:p>
    <w:p>
      <w:pPr>
        <w:pStyle w:val="null3"/>
        <w:jc w:val="center"/>
        <w:outlineLvl w:val="2"/>
      </w:pPr>
      <w:r>
        <w:rPr>
          <w:rFonts w:ascii="仿宋_GB2312" w:hAnsi="仿宋_GB2312" w:cs="仿宋_GB2312" w:eastAsia="仿宋_GB2312"/>
          <w:sz w:val="28"/>
          <w:b/>
        </w:rPr>
        <w:t>渭南市住房公积金管理中心</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渭南市住房公积金管理中心</w:t>
      </w:r>
      <w:r>
        <w:rPr>
          <w:rFonts w:ascii="仿宋_GB2312" w:hAnsi="仿宋_GB2312" w:cs="仿宋_GB2312" w:eastAsia="仿宋_GB2312"/>
        </w:rPr>
        <w:t>委托，拟对</w:t>
      </w:r>
      <w:r>
        <w:rPr>
          <w:rFonts w:ascii="仿宋_GB2312" w:hAnsi="仿宋_GB2312" w:cs="仿宋_GB2312" w:eastAsia="仿宋_GB2312"/>
        </w:rPr>
        <w:t>AI人工智能大模型OCR智能识别系统建设项目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ZCSP-渭南市-2025-00697、XHLJZC-WN2025-099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AI人工智能大模型OCR智能识别系统建设项目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AI人工智能大模型OCR智能识别系统建设，详见磋商文件。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采购包1（渭南市住房公积金管理中心AI人工智能大模型OCR智能识别系统建设项目）：属于专门面向中小企业采购。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渭南市三贤路北段市民综合服务中心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 &gt;的通知》（计价格〔2002〕1980号）、《国家发展和改革委员会办公厅关于招标代理服务收 费有关问题的通知》（发改办价格〔2003〕857号）的规定标准执行，按差额定率累进法收取 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渭南市住房公积金管理中心</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渭南市住房公积金管理中心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AI人工智能大模型OCR智能识别系统建设。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AI人工智能大模型OCR智能识别系统建设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标的名称：AI人工智能大模型OCR智能识别系统建设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1、软件技术性要求</w:t>
            </w:r>
          </w:p>
          <w:p>
            <w:pPr>
              <w:pStyle w:val="null3"/>
              <w:ind w:firstLine="480"/>
              <w:jc w:val="both"/>
            </w:pPr>
            <w:r>
              <w:rPr>
                <w:rFonts w:ascii="仿宋_GB2312" w:hAnsi="仿宋_GB2312" w:cs="仿宋_GB2312" w:eastAsia="仿宋_GB2312"/>
                <w:sz w:val="21"/>
              </w:rPr>
              <w:t>系统设计以先进性和实用性为根本原则，既要满足现在的业务需求，又要适当考虑将来的发展需要；采用成熟的技术和产品，有效地利用现有的硬件、软件、网络等资源。在系统设计过程中，应遵循以下原则：</w:t>
            </w:r>
          </w:p>
          <w:p>
            <w:pPr>
              <w:pStyle w:val="null3"/>
              <w:ind w:firstLine="420"/>
              <w:jc w:val="both"/>
            </w:pPr>
            <w:r>
              <w:rPr>
                <w:rFonts w:ascii="仿宋_GB2312" w:hAnsi="仿宋_GB2312" w:cs="仿宋_GB2312" w:eastAsia="仿宋_GB2312"/>
                <w:sz w:val="21"/>
              </w:rPr>
              <w:t>（1）系统前瞻性：采用先进的概念、技术、方法、设备，建立一种新概念的、开放的现代管理模式。既可靠成熟，又能反映当今最新技术，并具有发展潜力。为了能够更好的对接第三方系统，系统需采用标准接口方案，提前预留第三方接口，保障AI能力可以赋能给其他系统。</w:t>
            </w:r>
          </w:p>
          <w:p>
            <w:pPr>
              <w:pStyle w:val="null3"/>
              <w:ind w:firstLine="420"/>
              <w:jc w:val="both"/>
            </w:pPr>
            <w:r>
              <w:rPr>
                <w:rFonts w:ascii="仿宋_GB2312" w:hAnsi="仿宋_GB2312" w:cs="仿宋_GB2312" w:eastAsia="仿宋_GB2312"/>
                <w:sz w:val="21"/>
              </w:rPr>
              <w:t>（2）标准化与开放性原则：软件产品必须坚持标准化原则，选择符合开放性和国际标准化的产品和技术；在应用软件开发中，数据规范、指标代码体系、接口标准都应该遵循执行国家标准。</w:t>
            </w:r>
          </w:p>
          <w:p>
            <w:pPr>
              <w:pStyle w:val="null3"/>
              <w:ind w:firstLine="420"/>
              <w:jc w:val="both"/>
            </w:pPr>
            <w:r>
              <w:rPr>
                <w:rFonts w:ascii="仿宋_GB2312" w:hAnsi="仿宋_GB2312" w:cs="仿宋_GB2312" w:eastAsia="仿宋_GB2312"/>
                <w:sz w:val="21"/>
              </w:rPr>
              <w:t>（3）安全与保密原则：本期系统建设方案必须有高可靠性，并对使用系统操作进行严格的权限管理。在技术上采用严格的安全与保密措施，确保系统的可靠性、保密性和数据的一致性。在应用规划上，通过建立统一的用户权限管理系统，以统一的规划保证系统安全的压力和强度。</w:t>
            </w:r>
          </w:p>
          <w:p>
            <w:pPr>
              <w:pStyle w:val="null3"/>
              <w:ind w:firstLine="420"/>
              <w:jc w:val="both"/>
            </w:pPr>
            <w:r>
              <w:rPr>
                <w:rFonts w:ascii="仿宋_GB2312" w:hAnsi="仿宋_GB2312" w:cs="仿宋_GB2312" w:eastAsia="仿宋_GB2312"/>
                <w:sz w:val="21"/>
              </w:rPr>
              <w:t>（4）可维护性原则：本期系统设计在易分析性、易升级、易测试，稳定性业务流程可重组。提供完善的维护工具，提供向导式图形界面，降低系统管理员的维护工作强度，满足实际维护需求；系统提供统一的用户配置管理，对于基础数据变动、业务流程变动、人员权限变动、类别变动等均可以快速操作完成。</w:t>
            </w:r>
          </w:p>
          <w:p>
            <w:pPr>
              <w:pStyle w:val="null3"/>
              <w:ind w:firstLine="420"/>
              <w:jc w:val="both"/>
            </w:pPr>
            <w:r>
              <w:rPr>
                <w:rFonts w:ascii="仿宋_GB2312" w:hAnsi="仿宋_GB2312" w:cs="仿宋_GB2312" w:eastAsia="仿宋_GB2312"/>
                <w:sz w:val="21"/>
              </w:rPr>
              <w:t>（5）可扩展性原则：应用软件、安全体系都要采用业界制定的稳定、先进的标准体系，具有兼容性，具有系统容量、通讯能力、处理能力等多方面的扩展性。符合综合管理信息系统发展的趋势。</w:t>
            </w:r>
          </w:p>
          <w:p>
            <w:pPr>
              <w:pStyle w:val="null3"/>
              <w:ind w:firstLine="420"/>
              <w:jc w:val="both"/>
            </w:pPr>
            <w:r>
              <w:rPr>
                <w:rFonts w:ascii="仿宋_GB2312" w:hAnsi="仿宋_GB2312" w:cs="仿宋_GB2312" w:eastAsia="仿宋_GB2312"/>
                <w:sz w:val="21"/>
                <w:b/>
              </w:rPr>
              <w:t>2、软件功能性要求</w:t>
            </w:r>
          </w:p>
          <w:p>
            <w:pPr>
              <w:pStyle w:val="null3"/>
              <w:numPr>
                <w:ilvl w:val="0"/>
                <w:numId w:val="1"/>
              </w:numPr>
              <w:jc w:val="left"/>
            </w:pPr>
            <w:r>
              <w:rPr>
                <w:rFonts w:ascii="仿宋_GB2312" w:hAnsi="仿宋_GB2312" w:cs="仿宋_GB2312" w:eastAsia="仿宋_GB2312"/>
                <w:sz w:val="21"/>
              </w:rPr>
              <w:t>私有化部署AI智能识别服务：系统AI大模型支持模版识别（印刷体、手写体,支持中英文繁体等）、类型识别、全文检索和定制化场景训练模型，AI模版识别能力能够以API接口向外应用。要求提供公积金私有化AI大模型，以提高关键字段抽取准确率，并要求提供智能识别系统运行的硬件资源。</w:t>
            </w:r>
          </w:p>
          <w:p>
            <w:pPr>
              <w:pStyle w:val="null3"/>
              <w:ind w:firstLine="420"/>
              <w:jc w:val="left"/>
            </w:pPr>
            <w:r>
              <w:rPr>
                <w:rFonts w:ascii="仿宋_GB2312" w:hAnsi="仿宋_GB2312" w:cs="仿宋_GB2312" w:eastAsia="仿宋_GB2312"/>
                <w:sz w:val="21"/>
              </w:rPr>
              <w:t>（2）自动化处理：建设AI智能识别自动化处理能力，</w:t>
            </w:r>
            <w:r>
              <w:rPr>
                <w:rFonts w:ascii="仿宋_GB2312" w:hAnsi="仿宋_GB2312" w:cs="仿宋_GB2312" w:eastAsia="仿宋_GB2312"/>
                <w:sz w:val="21"/>
                <w:color w:val="000000"/>
              </w:rPr>
              <w:t>支持批量文档处理，</w:t>
            </w:r>
            <w:r>
              <w:rPr>
                <w:rFonts w:ascii="仿宋_GB2312" w:hAnsi="仿宋_GB2312" w:cs="仿宋_GB2312" w:eastAsia="仿宋_GB2312"/>
                <w:sz w:val="21"/>
              </w:rPr>
              <w:t>高效处理公积金业务中的大量数据和信息，减少人工操作的环节，提高中心服务效率。</w:t>
            </w:r>
          </w:p>
          <w:p>
            <w:pPr>
              <w:pStyle w:val="null3"/>
              <w:ind w:firstLine="420"/>
              <w:jc w:val="both"/>
            </w:pPr>
            <w:r>
              <w:rPr>
                <w:rFonts w:ascii="仿宋_GB2312" w:hAnsi="仿宋_GB2312" w:cs="仿宋_GB2312" w:eastAsia="仿宋_GB2312"/>
                <w:sz w:val="21"/>
              </w:rPr>
              <w:t>（3）自定义识别：支持自定义OCR模板进行文档版面分析，支持用户新增自定义文档类型, 要求接入的图像文字识别技术，参照物内容识别、坐标区域内容识别。业务办理中，需要识别的文件多种多样，识别的内容也各有不同。可针对每种样式文件，设定其需要识别的区域或内容，完成数据的获取。</w:t>
            </w:r>
            <w:r>
              <w:br/>
            </w:r>
            <w:r>
              <w:rPr>
                <w:rFonts w:ascii="仿宋_GB2312" w:hAnsi="仿宋_GB2312" w:cs="仿宋_GB2312" w:eastAsia="仿宋_GB2312"/>
                <w:sz w:val="21"/>
              </w:rPr>
              <w:t xml:space="preserve"> （4）多类型识别：支持提取文档中表格并格式化支持解析多种文档格式, 包括单不限于word, pdf, JPGE, PNG, JPG。</w:t>
            </w:r>
          </w:p>
          <w:p>
            <w:pPr>
              <w:pStyle w:val="null3"/>
              <w:ind w:firstLine="420"/>
              <w:jc w:val="both"/>
            </w:pPr>
            <w:r>
              <w:rPr>
                <w:rFonts w:ascii="仿宋_GB2312" w:hAnsi="仿宋_GB2312" w:cs="仿宋_GB2312" w:eastAsia="仿宋_GB2312"/>
                <w:sz w:val="21"/>
              </w:rPr>
              <w:t>（5）多系统对接：要求与公积金中心业务中台系统及电子档案管理等系统对接，赋能给业务中台及电子档案系统AI应用能力。</w:t>
            </w:r>
          </w:p>
          <w:p>
            <w:pPr>
              <w:pStyle w:val="null3"/>
              <w:ind w:firstLine="420"/>
              <w:jc w:val="left"/>
            </w:pPr>
            <w:r>
              <w:rPr>
                <w:rFonts w:ascii="仿宋_GB2312" w:hAnsi="仿宋_GB2312" w:cs="仿宋_GB2312" w:eastAsia="仿宋_GB2312"/>
                <w:sz w:val="21"/>
              </w:rPr>
              <w:t>（6）智能全文检索：对接赋能及升级电子档案管理系统，自动将所需检索的电子档案做ocr识别，结合电子档案系统的检索工具，支持用户录入模糊字段快速精准定位到目标案卷，实现电子档案检索字段的快速定位与利用。</w:t>
            </w:r>
          </w:p>
          <w:p>
            <w:pPr>
              <w:pStyle w:val="null3"/>
              <w:ind w:firstLine="420"/>
              <w:jc w:val="left"/>
            </w:pPr>
            <w:r>
              <w:rPr>
                <w:rFonts w:ascii="仿宋_GB2312" w:hAnsi="仿宋_GB2312" w:cs="仿宋_GB2312" w:eastAsia="仿宋_GB2312"/>
                <w:sz w:val="21"/>
              </w:rPr>
              <w:t>（6）柜面业务材料智能免填写：对接赋能业务中台及电子档案管理系统，覆盖公积金柜面归集提取贷款业务范围，自动识别提取业务电子档案影像中关键数据并反馈给业务受理界面，提升业务办理效率及准确率。</w:t>
            </w:r>
          </w:p>
          <w:p>
            <w:pPr>
              <w:pStyle w:val="null3"/>
              <w:ind w:firstLine="420"/>
              <w:jc w:val="left"/>
            </w:pPr>
            <w:r>
              <w:rPr>
                <w:rFonts w:ascii="仿宋_GB2312" w:hAnsi="仿宋_GB2312" w:cs="仿宋_GB2312" w:eastAsia="仿宋_GB2312"/>
                <w:sz w:val="21"/>
              </w:rPr>
              <w:t>（7）柜面业务材料目录自动匹配：对接赋能及升级电子档案管理系统，自动定位业务材料关键位置，识别采集材料的文件类型并与业务档案案卷目录自动匹配，减少人工核对时间同时降低操作错误率。</w:t>
            </w:r>
          </w:p>
          <w:p>
            <w:pPr>
              <w:pStyle w:val="null3"/>
              <w:ind w:firstLine="420"/>
              <w:jc w:val="left"/>
            </w:pPr>
            <w:r>
              <w:rPr>
                <w:rFonts w:ascii="仿宋_GB2312" w:hAnsi="仿宋_GB2312" w:cs="仿宋_GB2312" w:eastAsia="仿宋_GB2312"/>
                <w:sz w:val="21"/>
              </w:rPr>
              <w:t>（8）深度学习能力：具备深度学习能力，通过对中心相关文档资料的识别来形成复杂算法和优势算法，对文档上下文进行学习训练，然后将文档中的词语、句子分别用连续实值向量进行表示，方便处理文本语义特征，对词向量、句向量直接进行向量上的计算即可表征它们之间的文本语义关系，实现在不需要通过人工方式进行样本类别的标注来完成学习。</w:t>
            </w:r>
          </w:p>
          <w:p>
            <w:pPr>
              <w:pStyle w:val="null3"/>
              <w:ind w:firstLine="420"/>
              <w:jc w:val="left"/>
            </w:pPr>
            <w:r>
              <w:rPr>
                <w:rFonts w:ascii="仿宋_GB2312" w:hAnsi="仿宋_GB2312" w:cs="仿宋_GB2312" w:eastAsia="仿宋_GB2312"/>
                <w:sz w:val="21"/>
                <w:b/>
              </w:rPr>
              <w:t>3、部署环境参数要求</w:t>
            </w:r>
          </w:p>
          <w:tbl>
            <w:tblPr>
              <w:tblInd w:type="dxa" w:w="195"/>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国产品牌；</w:t>
                  </w:r>
                  <w:r>
                    <w:br/>
                  </w:r>
                  <w:r>
                    <w:rPr>
                      <w:rFonts w:ascii="仿宋_GB2312" w:hAnsi="仿宋_GB2312" w:cs="仿宋_GB2312" w:eastAsia="仿宋_GB2312"/>
                      <w:sz w:val="21"/>
                      <w:color w:val="000000"/>
                    </w:rPr>
                    <w:t>规格：2U标准机架式服务器；</w:t>
                  </w:r>
                  <w:r>
                    <w:br/>
                  </w:r>
                  <w:r>
                    <w:rPr>
                      <w:rFonts w:ascii="仿宋_GB2312" w:hAnsi="仿宋_GB2312" w:cs="仿宋_GB2312" w:eastAsia="仿宋_GB2312"/>
                      <w:sz w:val="21"/>
                      <w:color w:val="000000"/>
                    </w:rPr>
                    <w:t>处理器：支持2颗国产C86处理器，单处理器主频≥2.3GHz，核数≥32核；</w:t>
                  </w:r>
                  <w:r>
                    <w:br/>
                  </w:r>
                  <w:r>
                    <w:rPr>
                      <w:rFonts w:ascii="仿宋_GB2312" w:hAnsi="仿宋_GB2312" w:cs="仿宋_GB2312" w:eastAsia="仿宋_GB2312"/>
                      <w:sz w:val="21"/>
                      <w:color w:val="000000"/>
                    </w:rPr>
                    <w:t>内存：配置≥384GB DDR5 RDIMM内存；</w:t>
                  </w:r>
                  <w:r>
                    <w:br/>
                  </w:r>
                  <w:r>
                    <w:rPr>
                      <w:rFonts w:ascii="仿宋_GB2312" w:hAnsi="仿宋_GB2312" w:cs="仿宋_GB2312" w:eastAsia="仿宋_GB2312"/>
                      <w:sz w:val="21"/>
                      <w:color w:val="000000"/>
                    </w:rPr>
                    <w:t>存储：配置≥2块960GB SSD，≥2块3.84TB SSD硬盘；</w:t>
                  </w:r>
                  <w:r>
                    <w:br/>
                  </w:r>
                  <w:r>
                    <w:rPr>
                      <w:rFonts w:ascii="仿宋_GB2312" w:hAnsi="仿宋_GB2312" w:cs="仿宋_GB2312" w:eastAsia="仿宋_GB2312"/>
                      <w:sz w:val="21"/>
                      <w:color w:val="000000"/>
                    </w:rPr>
                    <w:t>Raid：配置 raid卡，可支持RAID 0/1/，缓存容量≥4GB</w:t>
                  </w:r>
                  <w:r>
                    <w:br/>
                  </w:r>
                  <w:r>
                    <w:rPr>
                      <w:rFonts w:ascii="仿宋_GB2312" w:hAnsi="仿宋_GB2312" w:cs="仿宋_GB2312" w:eastAsia="仿宋_GB2312"/>
                      <w:sz w:val="21"/>
                      <w:color w:val="000000"/>
                    </w:rPr>
                    <w:t xml:space="preserve">I/O扩展槽：可扩展≥10个PCIe 5.0槽位 </w:t>
                  </w:r>
                  <w:r>
                    <w:br/>
                  </w:r>
                  <w:r>
                    <w:rPr>
                      <w:rFonts w:ascii="仿宋_GB2312" w:hAnsi="仿宋_GB2312" w:cs="仿宋_GB2312" w:eastAsia="仿宋_GB2312"/>
                      <w:sz w:val="21"/>
                      <w:color w:val="000000"/>
                    </w:rPr>
                    <w:t>网络：配置4*GE电口和2*10GE/25GE光口（含光模块）</w:t>
                  </w:r>
                  <w:r>
                    <w:br/>
                  </w:r>
                  <w:r>
                    <w:rPr>
                      <w:rFonts w:ascii="仿宋_GB2312" w:hAnsi="仿宋_GB2312" w:cs="仿宋_GB2312" w:eastAsia="仿宋_GB2312"/>
                      <w:sz w:val="21"/>
                      <w:color w:val="000000"/>
                    </w:rPr>
                    <w:t>GPU卡配置：配置2块GPU卡，单卡显存≥48GB</w:t>
                  </w:r>
                  <w:r>
                    <w:br/>
                  </w:r>
                  <w:r>
                    <w:rPr>
                      <w:rFonts w:ascii="仿宋_GB2312" w:hAnsi="仿宋_GB2312" w:cs="仿宋_GB2312" w:eastAsia="仿宋_GB2312"/>
                      <w:sz w:val="21"/>
                      <w:color w:val="000000"/>
                    </w:rPr>
                    <w:t>电源：满配冗余热插拔电源，单电源额定功率≥2000W；</w:t>
                  </w:r>
                  <w:r>
                    <w:br/>
                  </w:r>
                  <w:r>
                    <w:rPr>
                      <w:rFonts w:ascii="仿宋_GB2312" w:hAnsi="仿宋_GB2312" w:cs="仿宋_GB2312" w:eastAsia="仿宋_GB2312"/>
                      <w:sz w:val="21"/>
                      <w:color w:val="000000"/>
                    </w:rPr>
                    <w:t>风扇：最大支持≥4个</w:t>
                  </w:r>
                  <w:r>
                    <w:br/>
                  </w:r>
                  <w:r>
                    <w:rPr>
                      <w:rFonts w:ascii="仿宋_GB2312" w:hAnsi="仿宋_GB2312" w:cs="仿宋_GB2312" w:eastAsia="仿宋_GB2312"/>
                      <w:sz w:val="21"/>
                      <w:color w:val="000000"/>
                    </w:rPr>
                    <w:t>标配上架导轨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建设期限：合同签订后四个月内完成交付 服务期：验收合格后一年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渭南市住房公积金管理中心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交付完成后15个工作日内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交付完成满一年后15个工作日内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交成果资料不符合国家法律法规和合同规定的，采购人有权拒收，并由供应商承担一切费用。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（1）报价未超过本项目最高限价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②项目质量保障：每满足一项评审标准得2分，满分6分； ③项目风险管控：每满足一项评审标准得2分，满分6分。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①完整性：方案及相关资料内容全面，对评审内容中的各项要求有详细描述及说明； ②可实施性：方案及相关资料科学合理，可操作性强； ③针对性：方案及相关资料能紧扣本项目实际情况，满足本项目各项具体要求。 3、赋分标准 ①对采购需求及系统现状分析：每满足一项评审标准得1分，满分3分； ②项目建设方案：每满足一项评审标准得1分，满分3分； ③所投系统技术指标及相关资料：每满足一项评审标准得1分，满分3分。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1、项目经理 具有省级及以上人力资源和社会保障部门或工业和信息化部门颁发人工智能方向高级工程师职称证书的，得3分；具有类似相关专业证书，得1分；未提供不得分。 2、项目技术负责人 具有省级及以上人力资源和社会保障部门或工业和信息化部门颁发的系统架构设计师证书，得3分；具有类似相关专业证书，得1分；未提供不得分。 3、项目团队人员（除项目经理和项目技术负责人）配置合理，具备计算机或数学相关专业学历的人员不少于5人，得2分；人数不足或未提供不得分。 注：（1）提供近1年内1个月单位缴纳社保的证明；（2）提供服务团队人员名单及相关证书扫描件，人员不重复计分。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性能能力</w:t>
            </w:r>
          </w:p>
        </w:tc>
        <w:tc>
          <w:tcPr>
            <w:tcW w:type="dxa" w:w="2492"/>
          </w:tcPr>
          <w:p>
            <w:pPr>
              <w:pStyle w:val="null3"/>
            </w:pPr>
            <w:r>
              <w:rPr>
                <w:rFonts w:ascii="仿宋_GB2312" w:hAnsi="仿宋_GB2312" w:cs="仿宋_GB2312" w:eastAsia="仿宋_GB2312"/>
              </w:rPr>
              <w:t>1、评审内容 供应商提供拟人工智能模块性能能力： ①对至少10亿条量级的语义化大数据进行2个维度的查询，查询耗时不高于1秒的，得2分。（需提供相应的检测报告复印件，检测报告须由具备CNAS测评能力的机构颁发，不满足基本要求该项不得分）； ②具备国家网信办互联网信息服务算法备案系统算法备案的，得2分。（提供备案号及互联网信息服务算法备案系统。https://beian.cac.gov.cn/查询截图，否则不得分）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软著能力</w:t>
            </w:r>
          </w:p>
        </w:tc>
        <w:tc>
          <w:tcPr>
            <w:tcW w:type="dxa" w:w="2492"/>
          </w:tcPr>
          <w:p>
            <w:pPr>
              <w:pStyle w:val="null3"/>
            </w:pPr>
            <w:r>
              <w:rPr>
                <w:rFonts w:ascii="仿宋_GB2312" w:hAnsi="仿宋_GB2312" w:cs="仿宋_GB2312" w:eastAsia="仿宋_GB2312"/>
              </w:rPr>
              <w:t>供应商具有名称包含语义化、溯源知识管理、知识汇聚、高质量数据治理等关键词的软件著作权证书，每类证书只能提供一项，每提供一项得1分，最高得4分。 注：需提供证明资料。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提供2022年1月1日以来供应商同类项目的业绩合同（以合同签订日期为准），附业绩合同复印件加盖公章，每份2分，满分8分；未提供不计分。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