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版本号：ZCSP-渭南市-2025-0070420250826001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市民综合服务中心第二餐厅餐饮服务项目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ZCSP-渭南市-2025-00704</w:t>
      </w:r>
      <w:r>
        <w:br/>
      </w:r>
      <w:r>
        <w:br/>
      </w:r>
      <w:r>
        <w:br/>
      </w:r>
    </w:p>
    <w:p>
      <w:pPr>
        <w:pStyle w:val="null3"/>
        <w:jc w:val="center"/>
        <w:outlineLvl w:val="2"/>
      </w:pPr>
      <w:r>
        <w:rPr>
          <w:rFonts w:ascii="仿宋_GB2312" w:hAnsi="仿宋_GB2312" w:cs="仿宋_GB2312" w:eastAsia="仿宋_GB2312"/>
          <w:sz w:val="28"/>
          <w:b/>
        </w:rPr>
        <w:t>渭南市机关事务服务中心</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渭南市机关事务服务中心</w:t>
      </w:r>
      <w:r>
        <w:rPr>
          <w:rFonts w:ascii="仿宋_GB2312" w:hAnsi="仿宋_GB2312" w:cs="仿宋_GB2312" w:eastAsia="仿宋_GB2312"/>
        </w:rPr>
        <w:t>委托，拟对</w:t>
      </w:r>
      <w:r>
        <w:rPr>
          <w:rFonts w:ascii="仿宋_GB2312" w:hAnsi="仿宋_GB2312" w:cs="仿宋_GB2312" w:eastAsia="仿宋_GB2312"/>
        </w:rPr>
        <w:t>市民综合服务中心第二餐厅餐饮服务项目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市民综合服务中心第二餐厅餐饮服务项目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市民综合服务中心第二餐厅餐饮服务项目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采购包1（市民综合服务中心第二餐厅餐饮服务项目）：属于专门面向中小企业采购。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须提供合法注册的法人或其他组织的营业执照等证明文件，自然人须提供的身份证明文件；供应商需在项目电子化交易系统中按要求上传合法注册的法人或其他组织的营业执照等证明文件，自然人上传身份证明，并进行电子签章。</w:t>
      </w:r>
    </w:p>
    <w:p>
      <w:pPr>
        <w:pStyle w:val="null3"/>
      </w:pPr>
      <w:r>
        <w:rPr>
          <w:rFonts w:ascii="仿宋_GB2312" w:hAnsi="仿宋_GB2312" w:cs="仿宋_GB2312" w:eastAsia="仿宋_GB2312"/>
        </w:rPr>
        <w:t>2、供应商授权合法的人员参加投标全过程：供应商应授权合法的人员参加政府采购活动的，（供应商为法人单位的）法定代表人亲自参加时，须提供法定代表人（负责人）身份证明及法人身份证复印件；法定代表人授权他人参加时，须提供法定代表人委托授权书及授权代表身份证。（供应商为非法人单位的）响应文件中凡是需要法定代表人签字或盖章之处，非法人单位的负责人均参照执行。法人的分支机构参与时，响应文件中应附法人给分支机构出具的授权书。授权书附在《法定代表人授权委托书》后，如无授权，将被视为无效文件。法人只能授权一家分支机构参与，且不能与分支机构同时参与。 供应商需在项目电子化交易系统中按要求上传法定代表人身份证明或法定代表人授权书及授权代表身份证证明文件，并进行电子签章。</w:t>
      </w:r>
    </w:p>
    <w:p>
      <w:pPr>
        <w:pStyle w:val="null3"/>
      </w:pPr>
      <w:r>
        <w:rPr>
          <w:rFonts w:ascii="仿宋_GB2312" w:hAnsi="仿宋_GB2312" w:cs="仿宋_GB2312" w:eastAsia="仿宋_GB2312"/>
        </w:rPr>
        <w:t>3、参加政府采购活动前三年内，在经营活动中没有重大违法记录：参与政府采购活动前三年（2022.8-2025.8）内在经营活动中没有重大违法记录的书面声明；供应商需在项目电子化交易系统中按要求上传参与政府采购活动前三年内在经营活动中没有重大违法记录的书面声明，并进行电子签章。</w:t>
      </w:r>
    </w:p>
    <w:p>
      <w:pPr>
        <w:pStyle w:val="null3"/>
      </w:pPr>
      <w:r>
        <w:rPr>
          <w:rFonts w:ascii="仿宋_GB2312" w:hAnsi="仿宋_GB2312" w:cs="仿宋_GB2312" w:eastAsia="仿宋_GB2312"/>
        </w:rPr>
        <w:t>4、有依法纳税和社会保障资金的良好记录：供应商须提供采购活动前一年（2024.8-2025.8）内任意一个月的完税证明（税种为增值税或企业所得税）及缴纳社会保险证明缴费种类至少包括养老保险，依法免税的、依法不需要缴纳社会保障资金的应提供相关文件证明；供应商需在项目电子化交易系统中按要求上传前一年内任意一个月的完税证明及缴纳社会保险证明，免税的、依法不需要缴纳社会保障资金的上传相关证明文件。</w:t>
      </w:r>
    </w:p>
    <w:p>
      <w:pPr>
        <w:pStyle w:val="null3"/>
      </w:pPr>
      <w:r>
        <w:rPr>
          <w:rFonts w:ascii="仿宋_GB2312" w:hAnsi="仿宋_GB2312" w:cs="仿宋_GB2312" w:eastAsia="仿宋_GB2312"/>
        </w:rPr>
        <w:t>5、具备良好的商业信誉和健全的财务会计制度：供应商须提供具有财务审计资质单位出具的2024年度财务报告或招标采购活动前六个月内其基本账户银行出具的资信证明，成立时间至提交首次响应文件截止时间不足一年的可提供成立后任意时段的资产负债表；供应商需在项目电子化交易系统中按要求上传2024年度财务报告或采购活动前六个月内其基本账户银行出具的资信证明或资产负债表，并进行电子签章。</w:t>
      </w:r>
    </w:p>
    <w:p>
      <w:pPr>
        <w:pStyle w:val="null3"/>
      </w:pPr>
      <w:r>
        <w:rPr>
          <w:rFonts w:ascii="仿宋_GB2312" w:hAnsi="仿宋_GB2312" w:cs="仿宋_GB2312" w:eastAsia="仿宋_GB2312"/>
        </w:rPr>
        <w:t>6、信用记录：提供《供应商信用记录书面声明函》。经查，投标人未被列入“信用中国”网站记录的“失信被执行人”或“重大税收违法案件当事人”名单；不处于“中国政府采购网”记录的“政府采购严重违法失信行为记录名单”中的禁止参加政府采购活动期间。：供应商需在项目电子化交易系统中按要求上传《供应商信用记录书面声明函》，并进行电子签章。</w:t>
      </w:r>
    </w:p>
    <w:p>
      <w:pPr>
        <w:pStyle w:val="null3"/>
      </w:pPr>
      <w:r>
        <w:rPr>
          <w:rFonts w:ascii="仿宋_GB2312" w:hAnsi="仿宋_GB2312" w:cs="仿宋_GB2312" w:eastAsia="仿宋_GB2312"/>
        </w:rPr>
        <w:t>7、本项目不接受联合体投标，不允许分包。投标人应提供《非联合体不分包投标声明》，视为独立投标，不分包。：供应商需在项目电子化交易系统中按要求上传《非联合体不分包投标声明》并进行电子签章。</w:t>
      </w:r>
    </w:p>
    <w:p>
      <w:pPr>
        <w:pStyle w:val="null3"/>
      </w:pPr>
      <w:r>
        <w:rPr>
          <w:rFonts w:ascii="仿宋_GB2312" w:hAnsi="仿宋_GB2312" w:cs="仿宋_GB2312" w:eastAsia="仿宋_GB2312"/>
        </w:rPr>
        <w:t>8、资质条件：提供合法有效的《食品经营许可证》。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渭南市机关事务服务中心经办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18891566299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渭南市政府采购中心经办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渭南市机关事务服务中心</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渭南市机关事务服务中心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根据合同标准进行验收。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渭南市机关事务服务中心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联系人：渭南市政府采购中心经办</w:t>
      </w:r>
    </w:p>
    <w:p>
      <w:pPr>
        <w:pStyle w:val="null3"/>
      </w:pPr>
      <w:r>
        <w:rPr>
          <w:rFonts w:ascii="仿宋_GB2312" w:hAnsi="仿宋_GB2312" w:cs="仿宋_GB2312" w:eastAsia="仿宋_GB2312"/>
        </w:rPr>
        <w:t>联系电话：0913-2100081</w:t>
      </w:r>
    </w:p>
    <w:p>
      <w:pPr>
        <w:pStyle w:val="null3"/>
      </w:pPr>
      <w:r>
        <w:rPr>
          <w:rFonts w:ascii="仿宋_GB2312" w:hAnsi="仿宋_GB2312" w:cs="仿宋_GB2312" w:eastAsia="仿宋_GB2312"/>
        </w:rPr>
        <w:t>地址：渭南市朝阳大街中银大厦1104</w:t>
      </w:r>
    </w:p>
    <w:p>
      <w:pPr>
        <w:pStyle w:val="null3"/>
      </w:pPr>
      <w:r>
        <w:rPr>
          <w:rFonts w:ascii="仿宋_GB2312" w:hAnsi="仿宋_GB2312" w:cs="仿宋_GB2312" w:eastAsia="仿宋_GB2312"/>
        </w:rPr>
        <w:t>邮编：714000</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联系人：机关事务中心经办</w:t>
      </w:r>
    </w:p>
    <w:p>
      <w:pPr>
        <w:pStyle w:val="null3"/>
      </w:pPr>
      <w:r>
        <w:rPr>
          <w:rFonts w:ascii="仿宋_GB2312" w:hAnsi="仿宋_GB2312" w:cs="仿宋_GB2312" w:eastAsia="仿宋_GB2312"/>
        </w:rPr>
        <w:t>联系电话： 18891566299</w:t>
      </w:r>
    </w:p>
    <w:p>
      <w:pPr>
        <w:pStyle w:val="null3"/>
      </w:pPr>
      <w:r>
        <w:rPr>
          <w:rFonts w:ascii="仿宋_GB2312" w:hAnsi="仿宋_GB2312" w:cs="仿宋_GB2312" w:eastAsia="仿宋_GB2312"/>
        </w:rPr>
        <w:t>地址：渭南市车雷街69号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市民中心第二餐厅餐饮服务项目2025年10月到2026年12月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7,000,000.00</w:t>
      </w:r>
    </w:p>
    <w:p>
      <w:pPr>
        <w:pStyle w:val="null3"/>
      </w:pPr>
      <w:r>
        <w:rPr>
          <w:rFonts w:ascii="仿宋_GB2312" w:hAnsi="仿宋_GB2312" w:cs="仿宋_GB2312" w:eastAsia="仿宋_GB2312"/>
        </w:rPr>
        <w:t>采购包最高限价（元）: 7,000,000.00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承担餐厅原材料采购和餐饮服务管理、餐饮食品加工、出售、服务、保洁等业务和与此相关的管理工作。</w:t>
            </w:r>
          </w:p>
          <w:p>
            <w:pPr>
              <w:pStyle w:val="null3"/>
              <w:jc w:val="both"/>
            </w:pPr>
            <w:r>
              <w:rPr>
                <w:rFonts w:ascii="仿宋_GB2312" w:hAnsi="仿宋_GB2312" w:cs="仿宋_GB2312" w:eastAsia="仿宋_GB2312"/>
                <w:sz w:val="24"/>
                <w:color w:val="000000"/>
              </w:rPr>
              <w:t>一、</w:t>
            </w:r>
            <w:r>
              <w:rPr>
                <w:rFonts w:ascii="仿宋_GB2312" w:hAnsi="仿宋_GB2312" w:cs="仿宋_GB2312" w:eastAsia="仿宋_GB2312"/>
                <w:sz w:val="24"/>
                <w:color w:val="000000"/>
              </w:rPr>
              <w:t>供餐模式：自助式供餐。</w:t>
            </w:r>
          </w:p>
          <w:p>
            <w:pPr>
              <w:pStyle w:val="null3"/>
              <w:jc w:val="both"/>
            </w:pPr>
            <w:r>
              <w:rPr>
                <w:rFonts w:ascii="仿宋_GB2312" w:hAnsi="仿宋_GB2312" w:cs="仿宋_GB2312" w:eastAsia="仿宋_GB2312"/>
                <w:sz w:val="24"/>
                <w:color w:val="000000"/>
              </w:rPr>
              <w:t>二、</w:t>
            </w:r>
            <w:r>
              <w:rPr>
                <w:rFonts w:ascii="仿宋_GB2312" w:hAnsi="仿宋_GB2312" w:cs="仿宋_GB2312" w:eastAsia="仿宋_GB2312"/>
                <w:sz w:val="24"/>
                <w:color w:val="000000"/>
              </w:rPr>
              <w:t>供餐内容：</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早餐：菜品不少于</w:t>
            </w:r>
            <w:r>
              <w:rPr>
                <w:rFonts w:ascii="仿宋_GB2312" w:hAnsi="仿宋_GB2312" w:cs="仿宋_GB2312" w:eastAsia="仿宋_GB2312"/>
                <w:sz w:val="24"/>
                <w:color w:val="000000"/>
              </w:rPr>
              <w:t>8种（其中热菜不少于4种、凉菜不少于4种）；开口小菜不少于2种；稀饭不少于2种；小吃不少于1种；鸡蛋1个；奶制品每周不少于1次；花卷、馒头。</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午餐：菜品不少于</w:t>
            </w:r>
            <w:r>
              <w:rPr>
                <w:rFonts w:ascii="仿宋_GB2312" w:hAnsi="仿宋_GB2312" w:cs="仿宋_GB2312" w:eastAsia="仿宋_GB2312"/>
                <w:sz w:val="24"/>
                <w:color w:val="000000"/>
              </w:rPr>
              <w:t>6种（其中荤菜不少于2种、素菜不少于4种）；汤品不少于2种；主食不少于3种；小吃、面食1种；杂粮不少于1种；水果不少于1种，每人1盒酸奶。</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晚餐：菜品不少于</w:t>
            </w:r>
            <w:r>
              <w:rPr>
                <w:rFonts w:ascii="仿宋_GB2312" w:hAnsi="仿宋_GB2312" w:cs="仿宋_GB2312" w:eastAsia="仿宋_GB2312"/>
                <w:sz w:val="24"/>
                <w:color w:val="000000"/>
              </w:rPr>
              <w:t>4种（其中荤菜不少于1种、素菜不少于3种）；面食不少于1种；稀饭不少于2种；花卷、馒头。</w:t>
            </w:r>
          </w:p>
          <w:p>
            <w:pPr>
              <w:pStyle w:val="null3"/>
              <w:jc w:val="both"/>
            </w:pPr>
            <w:r>
              <w:rPr>
                <w:rFonts w:ascii="仿宋_GB2312" w:hAnsi="仿宋_GB2312" w:cs="仿宋_GB2312" w:eastAsia="仿宋_GB2312"/>
                <w:sz w:val="24"/>
                <w:color w:val="000000"/>
              </w:rPr>
              <w:t>三、</w:t>
            </w:r>
            <w:r>
              <w:rPr>
                <w:rFonts w:ascii="仿宋_GB2312" w:hAnsi="仿宋_GB2312" w:cs="仿宋_GB2312" w:eastAsia="仿宋_GB2312"/>
                <w:sz w:val="24"/>
                <w:color w:val="000000"/>
              </w:rPr>
              <w:t>人员配置</w:t>
            </w:r>
          </w:p>
          <w:p>
            <w:pPr>
              <w:pStyle w:val="null3"/>
              <w:jc w:val="both"/>
            </w:pPr>
            <w:r>
              <w:rPr>
                <w:rFonts w:ascii="仿宋_GB2312" w:hAnsi="仿宋_GB2312" w:cs="仿宋_GB2312" w:eastAsia="仿宋_GB2312"/>
                <w:sz w:val="24"/>
                <w:color w:val="000000"/>
              </w:rPr>
              <w:t>服务人员共计</w:t>
            </w:r>
            <w:r>
              <w:rPr>
                <w:rFonts w:ascii="仿宋_GB2312" w:hAnsi="仿宋_GB2312" w:cs="仿宋_GB2312" w:eastAsia="仿宋_GB2312"/>
                <w:sz w:val="24"/>
                <w:color w:val="000000"/>
              </w:rPr>
              <w:t>50人，包含</w:t>
            </w:r>
            <w:r>
              <w:rPr>
                <w:rFonts w:ascii="仿宋_GB2312" w:hAnsi="仿宋_GB2312" w:cs="仿宋_GB2312" w:eastAsia="仿宋_GB2312"/>
                <w:sz w:val="24"/>
                <w:color w:val="000000"/>
              </w:rPr>
              <w:t>经理</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r>
              <w:rPr>
                <w:rFonts w:ascii="仿宋_GB2312" w:hAnsi="仿宋_GB2312" w:cs="仿宋_GB2312" w:eastAsia="仿宋_GB2312"/>
                <w:sz w:val="24"/>
                <w:color w:val="000000"/>
              </w:rPr>
              <w:t>库管</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r>
              <w:rPr>
                <w:rFonts w:ascii="仿宋_GB2312" w:hAnsi="仿宋_GB2312" w:cs="仿宋_GB2312" w:eastAsia="仿宋_GB2312"/>
                <w:sz w:val="24"/>
                <w:color w:val="000000"/>
              </w:rPr>
              <w:t>出纳</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r>
              <w:rPr>
                <w:rFonts w:ascii="仿宋_GB2312" w:hAnsi="仿宋_GB2312" w:cs="仿宋_GB2312" w:eastAsia="仿宋_GB2312"/>
                <w:sz w:val="24"/>
                <w:color w:val="000000"/>
              </w:rPr>
              <w:t>厨师长</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r>
              <w:rPr>
                <w:rFonts w:ascii="仿宋_GB2312" w:hAnsi="仿宋_GB2312" w:cs="仿宋_GB2312" w:eastAsia="仿宋_GB2312"/>
                <w:sz w:val="24"/>
                <w:color w:val="000000"/>
              </w:rPr>
              <w:t>副厨师长</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r>
              <w:rPr>
                <w:rFonts w:ascii="仿宋_GB2312" w:hAnsi="仿宋_GB2312" w:cs="仿宋_GB2312" w:eastAsia="仿宋_GB2312"/>
                <w:sz w:val="24"/>
                <w:color w:val="000000"/>
              </w:rPr>
              <w:t>炒菜师</w:t>
            </w:r>
            <w:r>
              <w:rPr>
                <w:rFonts w:ascii="仿宋_GB2312" w:hAnsi="仿宋_GB2312" w:cs="仿宋_GB2312" w:eastAsia="仿宋_GB2312"/>
                <w:sz w:val="24"/>
                <w:color w:val="000000"/>
              </w:rPr>
              <w:t>3</w:t>
            </w:r>
            <w:r>
              <w:rPr>
                <w:rFonts w:ascii="仿宋_GB2312" w:hAnsi="仿宋_GB2312" w:cs="仿宋_GB2312" w:eastAsia="仿宋_GB2312"/>
                <w:sz w:val="24"/>
                <w:color w:val="000000"/>
              </w:rPr>
              <w:t>人、</w:t>
            </w:r>
            <w:r>
              <w:rPr>
                <w:rFonts w:ascii="仿宋_GB2312" w:hAnsi="仿宋_GB2312" w:cs="仿宋_GB2312" w:eastAsia="仿宋_GB2312"/>
                <w:sz w:val="24"/>
                <w:color w:val="000000"/>
              </w:rPr>
              <w:t>砧板</w:t>
            </w:r>
            <w:r>
              <w:rPr>
                <w:rFonts w:ascii="仿宋_GB2312" w:hAnsi="仿宋_GB2312" w:cs="仿宋_GB2312" w:eastAsia="仿宋_GB2312"/>
                <w:sz w:val="24"/>
                <w:color w:val="000000"/>
              </w:rPr>
              <w:t>5</w:t>
            </w:r>
            <w:r>
              <w:rPr>
                <w:rFonts w:ascii="仿宋_GB2312" w:hAnsi="仿宋_GB2312" w:cs="仿宋_GB2312" w:eastAsia="仿宋_GB2312"/>
                <w:sz w:val="24"/>
                <w:color w:val="000000"/>
              </w:rPr>
              <w:t>人、</w:t>
            </w:r>
            <w:r>
              <w:rPr>
                <w:rFonts w:ascii="仿宋_GB2312" w:hAnsi="仿宋_GB2312" w:cs="仿宋_GB2312" w:eastAsia="仿宋_GB2312"/>
                <w:sz w:val="24"/>
                <w:color w:val="000000"/>
              </w:rPr>
              <w:t>凉菜师</w:t>
            </w:r>
            <w:r>
              <w:rPr>
                <w:rFonts w:ascii="仿宋_GB2312" w:hAnsi="仿宋_GB2312" w:cs="仿宋_GB2312" w:eastAsia="仿宋_GB2312"/>
                <w:sz w:val="24"/>
                <w:color w:val="000000"/>
              </w:rPr>
              <w:t>3</w:t>
            </w:r>
            <w:r>
              <w:rPr>
                <w:rFonts w:ascii="仿宋_GB2312" w:hAnsi="仿宋_GB2312" w:cs="仿宋_GB2312" w:eastAsia="仿宋_GB2312"/>
                <w:sz w:val="24"/>
                <w:color w:val="000000"/>
              </w:rPr>
              <w:t>人、</w:t>
            </w:r>
            <w:r>
              <w:rPr>
                <w:rFonts w:ascii="仿宋_GB2312" w:hAnsi="仿宋_GB2312" w:cs="仿宋_GB2312" w:eastAsia="仿宋_GB2312"/>
                <w:sz w:val="24"/>
                <w:color w:val="000000"/>
              </w:rPr>
              <w:t>面点</w:t>
            </w:r>
            <w:r>
              <w:rPr>
                <w:rFonts w:ascii="仿宋_GB2312" w:hAnsi="仿宋_GB2312" w:cs="仿宋_GB2312" w:eastAsia="仿宋_GB2312"/>
                <w:sz w:val="24"/>
                <w:color w:val="000000"/>
              </w:rPr>
              <w:t>6</w:t>
            </w:r>
            <w:r>
              <w:rPr>
                <w:rFonts w:ascii="仿宋_GB2312" w:hAnsi="仿宋_GB2312" w:cs="仿宋_GB2312" w:eastAsia="仿宋_GB2312"/>
                <w:sz w:val="24"/>
                <w:color w:val="000000"/>
              </w:rPr>
              <w:t>人、</w:t>
            </w:r>
            <w:r>
              <w:rPr>
                <w:rFonts w:ascii="仿宋_GB2312" w:hAnsi="仿宋_GB2312" w:cs="仿宋_GB2312" w:eastAsia="仿宋_GB2312"/>
                <w:sz w:val="24"/>
                <w:color w:val="000000"/>
              </w:rPr>
              <w:t>上杂</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w:t>
            </w:r>
            <w:r>
              <w:rPr>
                <w:rFonts w:ascii="仿宋_GB2312" w:hAnsi="仿宋_GB2312" w:cs="仿宋_GB2312" w:eastAsia="仿宋_GB2312"/>
                <w:sz w:val="24"/>
                <w:color w:val="000000"/>
              </w:rPr>
              <w:t>洗碗</w:t>
            </w:r>
            <w:r>
              <w:rPr>
                <w:rFonts w:ascii="仿宋_GB2312" w:hAnsi="仿宋_GB2312" w:cs="仿宋_GB2312" w:eastAsia="仿宋_GB2312"/>
                <w:sz w:val="24"/>
                <w:color w:val="000000"/>
              </w:rPr>
              <w:t>5</w:t>
            </w:r>
            <w:r>
              <w:rPr>
                <w:rFonts w:ascii="仿宋_GB2312" w:hAnsi="仿宋_GB2312" w:cs="仿宋_GB2312" w:eastAsia="仿宋_GB2312"/>
                <w:sz w:val="24"/>
                <w:color w:val="000000"/>
              </w:rPr>
              <w:t>人、</w:t>
            </w:r>
            <w:r>
              <w:rPr>
                <w:rFonts w:ascii="仿宋_GB2312" w:hAnsi="仿宋_GB2312" w:cs="仿宋_GB2312" w:eastAsia="仿宋_GB2312"/>
                <w:sz w:val="24"/>
                <w:color w:val="000000"/>
              </w:rPr>
              <w:t>洗菜</w:t>
            </w:r>
            <w:r>
              <w:rPr>
                <w:rFonts w:ascii="仿宋_GB2312" w:hAnsi="仿宋_GB2312" w:cs="仿宋_GB2312" w:eastAsia="仿宋_GB2312"/>
                <w:sz w:val="24"/>
                <w:color w:val="000000"/>
              </w:rPr>
              <w:t>3</w:t>
            </w:r>
            <w:r>
              <w:rPr>
                <w:rFonts w:ascii="仿宋_GB2312" w:hAnsi="仿宋_GB2312" w:cs="仿宋_GB2312" w:eastAsia="仿宋_GB2312"/>
                <w:sz w:val="24"/>
                <w:color w:val="000000"/>
              </w:rPr>
              <w:t>人、</w:t>
            </w:r>
            <w:r>
              <w:rPr>
                <w:rFonts w:ascii="仿宋_GB2312" w:hAnsi="仿宋_GB2312" w:cs="仿宋_GB2312" w:eastAsia="仿宋_GB2312"/>
                <w:sz w:val="24"/>
                <w:color w:val="000000"/>
              </w:rPr>
              <w:t>收餐</w:t>
            </w:r>
            <w:r>
              <w:rPr>
                <w:rFonts w:ascii="仿宋_GB2312" w:hAnsi="仿宋_GB2312" w:cs="仿宋_GB2312" w:eastAsia="仿宋_GB2312"/>
                <w:sz w:val="24"/>
                <w:color w:val="000000"/>
              </w:rPr>
              <w:t>3</w:t>
            </w:r>
            <w:r>
              <w:rPr>
                <w:rFonts w:ascii="仿宋_GB2312" w:hAnsi="仿宋_GB2312" w:cs="仿宋_GB2312" w:eastAsia="仿宋_GB2312"/>
                <w:sz w:val="24"/>
                <w:color w:val="000000"/>
              </w:rPr>
              <w:t>人、</w:t>
            </w:r>
            <w:r>
              <w:rPr>
                <w:rFonts w:ascii="仿宋_GB2312" w:hAnsi="仿宋_GB2312" w:cs="仿宋_GB2312" w:eastAsia="仿宋_GB2312"/>
                <w:sz w:val="24"/>
                <w:color w:val="000000"/>
              </w:rPr>
              <w:t>传菜</w:t>
            </w:r>
            <w:r>
              <w:rPr>
                <w:rFonts w:ascii="仿宋_GB2312" w:hAnsi="仿宋_GB2312" w:cs="仿宋_GB2312" w:eastAsia="仿宋_GB2312"/>
                <w:sz w:val="24"/>
                <w:color w:val="000000"/>
              </w:rPr>
              <w:t>3</w:t>
            </w:r>
            <w:r>
              <w:rPr>
                <w:rFonts w:ascii="仿宋_GB2312" w:hAnsi="仿宋_GB2312" w:cs="仿宋_GB2312" w:eastAsia="仿宋_GB2312"/>
                <w:sz w:val="24"/>
                <w:color w:val="000000"/>
              </w:rPr>
              <w:t>人、</w:t>
            </w:r>
            <w:r>
              <w:rPr>
                <w:rFonts w:ascii="仿宋_GB2312" w:hAnsi="仿宋_GB2312" w:cs="仿宋_GB2312" w:eastAsia="仿宋_GB2312"/>
                <w:sz w:val="24"/>
                <w:color w:val="000000"/>
              </w:rPr>
              <w:t>服务员</w:t>
            </w:r>
            <w:r>
              <w:rPr>
                <w:rFonts w:ascii="仿宋_GB2312" w:hAnsi="仿宋_GB2312" w:cs="仿宋_GB2312" w:eastAsia="仿宋_GB2312"/>
                <w:sz w:val="24"/>
                <w:color w:val="000000"/>
              </w:rPr>
              <w:t>5</w:t>
            </w:r>
            <w:r>
              <w:rPr>
                <w:rFonts w:ascii="仿宋_GB2312" w:hAnsi="仿宋_GB2312" w:cs="仿宋_GB2312" w:eastAsia="仿宋_GB2312"/>
                <w:sz w:val="24"/>
                <w:color w:val="000000"/>
              </w:rPr>
              <w:t>人、</w:t>
            </w:r>
            <w:r>
              <w:rPr>
                <w:rFonts w:ascii="仿宋_GB2312" w:hAnsi="仿宋_GB2312" w:cs="仿宋_GB2312" w:eastAsia="仿宋_GB2312"/>
                <w:sz w:val="24"/>
                <w:color w:val="000000"/>
              </w:rPr>
              <w:t>保洁主管</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r>
              <w:rPr>
                <w:rFonts w:ascii="仿宋_GB2312" w:hAnsi="仿宋_GB2312" w:cs="仿宋_GB2312" w:eastAsia="仿宋_GB2312"/>
                <w:sz w:val="24"/>
                <w:color w:val="000000"/>
              </w:rPr>
              <w:t>保洁员</w:t>
            </w:r>
            <w:r>
              <w:rPr>
                <w:rFonts w:ascii="仿宋_GB2312" w:hAnsi="仿宋_GB2312" w:cs="仿宋_GB2312" w:eastAsia="仿宋_GB2312"/>
                <w:sz w:val="24"/>
                <w:color w:val="000000"/>
              </w:rPr>
              <w:t>6</w:t>
            </w:r>
            <w:r>
              <w:rPr>
                <w:rFonts w:ascii="仿宋_GB2312" w:hAnsi="仿宋_GB2312" w:cs="仿宋_GB2312" w:eastAsia="仿宋_GB2312"/>
                <w:sz w:val="24"/>
                <w:color w:val="000000"/>
              </w:rPr>
              <w:t>人。</w:t>
            </w:r>
          </w:p>
          <w:p>
            <w:pPr>
              <w:pStyle w:val="null3"/>
              <w:jc w:val="both"/>
            </w:pPr>
            <w:r>
              <w:rPr>
                <w:rFonts w:ascii="仿宋_GB2312" w:hAnsi="仿宋_GB2312" w:cs="仿宋_GB2312" w:eastAsia="仿宋_GB2312"/>
                <w:sz w:val="24"/>
                <w:color w:val="000000"/>
              </w:rPr>
              <w:t>四、服务质量要求</w:t>
            </w:r>
          </w:p>
          <w:p>
            <w:pPr>
              <w:pStyle w:val="null3"/>
              <w:jc w:val="both"/>
            </w:pPr>
            <w:r>
              <w:rPr>
                <w:rFonts w:ascii="仿宋_GB2312" w:hAnsi="仿宋_GB2312" w:cs="仿宋_GB2312" w:eastAsia="仿宋_GB2312"/>
                <w:sz w:val="24"/>
                <w:color w:val="000000"/>
              </w:rPr>
              <w:t>1.投标服务商必须提供供餐服务保障方案。</w:t>
            </w:r>
          </w:p>
          <w:p>
            <w:pPr>
              <w:pStyle w:val="null3"/>
              <w:jc w:val="both"/>
            </w:pPr>
            <w:r>
              <w:rPr>
                <w:rFonts w:ascii="仿宋_GB2312" w:hAnsi="仿宋_GB2312" w:cs="仿宋_GB2312" w:eastAsia="仿宋_GB2312"/>
                <w:sz w:val="24"/>
                <w:color w:val="000000"/>
              </w:rPr>
              <w:t>2.服务商提供规范的服务质量标准。</w:t>
            </w:r>
          </w:p>
          <w:p>
            <w:pPr>
              <w:pStyle w:val="null3"/>
              <w:jc w:val="both"/>
            </w:pPr>
            <w:r>
              <w:rPr>
                <w:rFonts w:ascii="仿宋_GB2312" w:hAnsi="仿宋_GB2312" w:cs="仿宋_GB2312" w:eastAsia="仿宋_GB2312"/>
                <w:sz w:val="24"/>
                <w:color w:val="000000"/>
              </w:rPr>
              <w:t>3.服务商承担在履行业务过程中的食品原料的费用（不含水、电及油烟罩清洗、燃气报警装置及售饭系统维保费用）。低值易耗品更新补充由服务商自行更换补充并承担支付费用。</w:t>
            </w:r>
          </w:p>
          <w:p>
            <w:pPr>
              <w:pStyle w:val="null3"/>
              <w:jc w:val="both"/>
            </w:pPr>
            <w:r>
              <w:rPr>
                <w:rFonts w:ascii="仿宋_GB2312" w:hAnsi="仿宋_GB2312" w:cs="仿宋_GB2312" w:eastAsia="仿宋_GB2312"/>
                <w:sz w:val="24"/>
                <w:color w:val="000000"/>
              </w:rPr>
              <w:t>五、服务质量标准要求</w:t>
            </w:r>
          </w:p>
          <w:p>
            <w:pPr>
              <w:pStyle w:val="null3"/>
              <w:jc w:val="both"/>
            </w:pPr>
            <w:r>
              <w:rPr>
                <w:rFonts w:ascii="仿宋_GB2312" w:hAnsi="仿宋_GB2312" w:cs="仿宋_GB2312" w:eastAsia="仿宋_GB2312"/>
                <w:sz w:val="24"/>
                <w:color w:val="000000"/>
              </w:rPr>
              <w:t>1.在业务履行过程中要服从采购人对生产场地、工作及生活环境的安排和要求，严格执行采购现场标准的相关管理规定，并接受采购人的考核。考核内容招标后按采购方制定标准进行考核。</w:t>
            </w:r>
          </w:p>
          <w:p>
            <w:pPr>
              <w:pStyle w:val="null3"/>
              <w:jc w:val="both"/>
            </w:pPr>
            <w:r>
              <w:rPr>
                <w:rFonts w:ascii="仿宋_GB2312" w:hAnsi="仿宋_GB2312" w:cs="仿宋_GB2312" w:eastAsia="仿宋_GB2312"/>
                <w:sz w:val="24"/>
                <w:color w:val="000000"/>
              </w:rPr>
              <w:t>2.投标服务商必须提供供餐服务保障方案。</w:t>
            </w:r>
          </w:p>
          <w:p>
            <w:pPr>
              <w:pStyle w:val="null3"/>
              <w:jc w:val="both"/>
            </w:pPr>
            <w:r>
              <w:rPr>
                <w:rFonts w:ascii="仿宋_GB2312" w:hAnsi="仿宋_GB2312" w:cs="仿宋_GB2312" w:eastAsia="仿宋_GB2312"/>
                <w:sz w:val="24"/>
                <w:color w:val="000000"/>
              </w:rPr>
              <w:t>3.服务商提供规范的服务质量标准。</w:t>
            </w:r>
          </w:p>
          <w:p>
            <w:pPr>
              <w:pStyle w:val="null3"/>
              <w:jc w:val="both"/>
            </w:pPr>
            <w:r>
              <w:rPr>
                <w:rFonts w:ascii="仿宋_GB2312" w:hAnsi="仿宋_GB2312" w:cs="仿宋_GB2312" w:eastAsia="仿宋_GB2312"/>
                <w:sz w:val="24"/>
                <w:color w:val="000000"/>
              </w:rPr>
              <w:t>4.服务商承担在履行业务过程中的食品原料的费用（不含水、电及油烟罩清洗、燃气报警装置及售饭系统维保费用）。</w:t>
            </w:r>
          </w:p>
          <w:p>
            <w:pPr>
              <w:pStyle w:val="null3"/>
              <w:jc w:val="both"/>
            </w:pPr>
            <w:r>
              <w:rPr>
                <w:rFonts w:ascii="仿宋_GB2312" w:hAnsi="仿宋_GB2312" w:cs="仿宋_GB2312" w:eastAsia="仿宋_GB2312"/>
                <w:sz w:val="24"/>
                <w:color w:val="000000"/>
              </w:rPr>
              <w:t>5.低值易耗品更新补充由服务商自行更换补充并承担支付费用。</w:t>
            </w:r>
          </w:p>
          <w:p>
            <w:pPr>
              <w:pStyle w:val="null3"/>
              <w:jc w:val="both"/>
            </w:pPr>
            <w:r>
              <w:rPr>
                <w:rFonts w:ascii="仿宋_GB2312" w:hAnsi="仿宋_GB2312" w:cs="仿宋_GB2312" w:eastAsia="仿宋_GB2312"/>
                <w:sz w:val="24"/>
                <w:color w:val="000000"/>
              </w:rPr>
              <w:t>6.餐厅工作人员培训每月不少于1次，所需费用由服务商承担。</w:t>
            </w:r>
          </w:p>
          <w:p>
            <w:pPr>
              <w:pStyle w:val="null3"/>
              <w:jc w:val="both"/>
            </w:pPr>
            <w:r>
              <w:rPr>
                <w:rFonts w:ascii="仿宋_GB2312" w:hAnsi="仿宋_GB2312" w:cs="仿宋_GB2312" w:eastAsia="仿宋_GB2312"/>
                <w:sz w:val="24"/>
                <w:color w:val="000000"/>
              </w:rPr>
              <w:t>7.意外事故承担：</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）就餐者在就餐过程中，因餐厅地面打扫不及时而导致的摔倒、磕伤、碰伤等引起的一切问题由服务商负责。</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）凡因原材料清洗不干净或程序不规范造成食物中毒或其他问题所引发的全部责任由服务商承担。</w:t>
            </w:r>
          </w:p>
          <w:p>
            <w:pPr>
              <w:pStyle w:val="null3"/>
              <w:jc w:val="both"/>
            </w:pPr>
            <w:r>
              <w:rPr>
                <w:rFonts w:ascii="仿宋_GB2312" w:hAnsi="仿宋_GB2312" w:cs="仿宋_GB2312" w:eastAsia="仿宋_GB2312"/>
                <w:sz w:val="24"/>
                <w:color w:val="000000"/>
              </w:rPr>
              <w:t>8.服务商承担在履行服务过程中的全部安全责任。</w:t>
            </w:r>
          </w:p>
          <w:p>
            <w:pPr>
              <w:pStyle w:val="null3"/>
              <w:jc w:val="both"/>
            </w:pPr>
            <w:r>
              <w:rPr>
                <w:rFonts w:ascii="仿宋_GB2312" w:hAnsi="仿宋_GB2312" w:cs="仿宋_GB2312" w:eastAsia="仿宋_GB2312"/>
                <w:sz w:val="24"/>
                <w:color w:val="000000"/>
              </w:rPr>
              <w:t>9.各种设施设备必须按操作规程进行操作，不得违反设备使用性能或违规使用。凡违规使用造成设备事故或人员伤亡，一切后果由服务商担负。</w:t>
            </w:r>
          </w:p>
          <w:p>
            <w:pPr>
              <w:pStyle w:val="null3"/>
              <w:jc w:val="both"/>
            </w:pPr>
            <w:r>
              <w:rPr>
                <w:rFonts w:ascii="仿宋_GB2312" w:hAnsi="仿宋_GB2312" w:cs="仿宋_GB2312" w:eastAsia="仿宋_GB2312"/>
                <w:sz w:val="24"/>
                <w:color w:val="000000"/>
              </w:rPr>
              <w:t>10.服务商应严格遵守《中华人民共和国食品卫生法》和《中华人民共和国食品安全法》。应做好食品卫生工作，若因服务商管理问题造成就餐者食物中毒，责任由服务商全部承担；严格卫生管理，确保饮食卫生安全。</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严格遵守有关食品卫生安全法规，服务商必须每天打扫辖区内的清洁卫生，做到餐具每天消毒，工作人员必须定期接受体检，保证工作人员身体健康、无传染病，符合食品卫生从业人员标准。</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不得采购、加工霉烂变质商品或不正常、不卫生的食品在本餐厅销售、食用和饮用，严格执行食品卫生法规定。</w:t>
            </w:r>
          </w:p>
          <w:p>
            <w:pPr>
              <w:pStyle w:val="null3"/>
              <w:jc w:val="both"/>
            </w:pPr>
            <w:r>
              <w:rPr>
                <w:rFonts w:ascii="仿宋_GB2312" w:hAnsi="仿宋_GB2312" w:cs="仿宋_GB2312" w:eastAsia="仿宋_GB2312"/>
                <w:sz w:val="24"/>
                <w:color w:val="000000"/>
              </w:rPr>
              <w:t>13.服务商应严格遵守安全使用管理规定，严格操作间管理，若因服务商管理问题引起采购人操作间火灾，一切责任及损失由服务商承担；服务商必须严格遵守安全操作规程，保证安全生产，如果因违规操作而造成工伤，由服务商自行负责承担。</w:t>
            </w:r>
          </w:p>
          <w:p>
            <w:pPr>
              <w:pStyle w:val="null3"/>
              <w:jc w:val="both"/>
            </w:pPr>
            <w:r>
              <w:rPr>
                <w:rFonts w:ascii="仿宋_GB2312" w:hAnsi="仿宋_GB2312" w:cs="仿宋_GB2312" w:eastAsia="仿宋_GB2312"/>
                <w:sz w:val="24"/>
                <w:color w:val="000000"/>
              </w:rPr>
              <w:t>六、餐厅服务要求</w:t>
            </w:r>
          </w:p>
          <w:p>
            <w:pPr>
              <w:pStyle w:val="null3"/>
              <w:jc w:val="both"/>
            </w:pPr>
            <w:r>
              <w:rPr>
                <w:rFonts w:ascii="仿宋_GB2312" w:hAnsi="仿宋_GB2312" w:cs="仿宋_GB2312" w:eastAsia="仿宋_GB2312"/>
                <w:sz w:val="24"/>
                <w:color w:val="000000"/>
              </w:rPr>
              <w:t>（一）基本要求</w:t>
            </w:r>
          </w:p>
          <w:p>
            <w:pPr>
              <w:pStyle w:val="null3"/>
              <w:jc w:val="both"/>
            </w:pPr>
            <w:r>
              <w:rPr>
                <w:rFonts w:ascii="仿宋_GB2312" w:hAnsi="仿宋_GB2312" w:cs="仿宋_GB2312" w:eastAsia="仿宋_GB2312"/>
                <w:sz w:val="24"/>
                <w:color w:val="000000"/>
              </w:rPr>
              <w:t>1.餐厅显著位置设置醒目标志，标明开饭时间等内容。</w:t>
            </w:r>
          </w:p>
          <w:p>
            <w:pPr>
              <w:pStyle w:val="null3"/>
              <w:jc w:val="both"/>
            </w:pPr>
            <w:r>
              <w:rPr>
                <w:rFonts w:ascii="仿宋_GB2312" w:hAnsi="仿宋_GB2312" w:cs="仿宋_GB2312" w:eastAsia="仿宋_GB2312"/>
                <w:sz w:val="24"/>
                <w:color w:val="000000"/>
              </w:rPr>
              <w:t>2.餐厅须依据国家《食品卫生法》有关规定，按时做好服务人员健康检查和卫生知识培训工作。</w:t>
            </w:r>
          </w:p>
          <w:p>
            <w:pPr>
              <w:pStyle w:val="null3"/>
              <w:jc w:val="both"/>
            </w:pPr>
            <w:r>
              <w:rPr>
                <w:rFonts w:ascii="仿宋_GB2312" w:hAnsi="仿宋_GB2312" w:cs="仿宋_GB2312" w:eastAsia="仿宋_GB2312"/>
                <w:sz w:val="24"/>
                <w:color w:val="000000"/>
              </w:rPr>
              <w:t>3.餐厅建立健全卫生管理制度，配备专职或兼职的食品卫生管理人员和监督人员。</w:t>
            </w:r>
          </w:p>
          <w:p>
            <w:pPr>
              <w:pStyle w:val="null3"/>
              <w:jc w:val="both"/>
            </w:pPr>
            <w:r>
              <w:rPr>
                <w:rFonts w:ascii="仿宋_GB2312" w:hAnsi="仿宋_GB2312" w:cs="仿宋_GB2312" w:eastAsia="仿宋_GB2312"/>
                <w:sz w:val="24"/>
                <w:color w:val="000000"/>
              </w:rPr>
              <w:t>4.食品卫生管理人员和监督人员要不定期进行食品安全卫生、餐厅环境卫生、餐厅餐饮具、设备及工具、餐厅从业人员卫生的检查。</w:t>
            </w:r>
          </w:p>
          <w:p>
            <w:pPr>
              <w:pStyle w:val="null3"/>
              <w:jc w:val="both"/>
            </w:pPr>
            <w:r>
              <w:rPr>
                <w:rFonts w:ascii="仿宋_GB2312" w:hAnsi="仿宋_GB2312" w:cs="仿宋_GB2312" w:eastAsia="仿宋_GB2312"/>
                <w:sz w:val="24"/>
                <w:color w:val="000000"/>
              </w:rPr>
              <w:t>5.餐厅建立健全餐饮具、设备及工具、食品加工操作场所及设施的清洁、消毒制度。</w:t>
            </w:r>
          </w:p>
          <w:p>
            <w:pPr>
              <w:pStyle w:val="null3"/>
              <w:jc w:val="both"/>
            </w:pPr>
            <w:r>
              <w:rPr>
                <w:rFonts w:ascii="仿宋_GB2312" w:hAnsi="仿宋_GB2312" w:cs="仿宋_GB2312" w:eastAsia="仿宋_GB2312"/>
                <w:sz w:val="24"/>
                <w:color w:val="000000"/>
              </w:rPr>
              <w:t>6.食品加工、贮存、销售、陈列、消毒等各种防护设施、设备及其运送食品的工具应当定期维护。</w:t>
            </w:r>
          </w:p>
          <w:p>
            <w:pPr>
              <w:pStyle w:val="null3"/>
              <w:jc w:val="both"/>
            </w:pPr>
            <w:r>
              <w:rPr>
                <w:rFonts w:ascii="仿宋_GB2312" w:hAnsi="仿宋_GB2312" w:cs="仿宋_GB2312" w:eastAsia="仿宋_GB2312"/>
                <w:sz w:val="24"/>
                <w:color w:val="000000"/>
              </w:rPr>
              <w:t>7.实行分餐制。根据就餐者情况和要求的不同，采用厨师分餐、服务员分餐、就餐者自行分餐等不同的分餐形式（自助餐和套餐均属分餐制范畴）。</w:t>
            </w:r>
          </w:p>
          <w:p>
            <w:pPr>
              <w:pStyle w:val="null3"/>
              <w:jc w:val="both"/>
            </w:pPr>
            <w:r>
              <w:rPr>
                <w:rFonts w:ascii="仿宋_GB2312" w:hAnsi="仿宋_GB2312" w:cs="仿宋_GB2312" w:eastAsia="仿宋_GB2312"/>
                <w:sz w:val="24"/>
                <w:color w:val="000000"/>
              </w:rPr>
              <w:t>8.用于食品加工操作的设备及工具不得用作与食品加工无关的用途。</w:t>
            </w:r>
          </w:p>
          <w:p>
            <w:pPr>
              <w:pStyle w:val="null3"/>
              <w:jc w:val="both"/>
            </w:pPr>
            <w:r>
              <w:rPr>
                <w:rFonts w:ascii="仿宋_GB2312" w:hAnsi="仿宋_GB2312" w:cs="仿宋_GB2312" w:eastAsia="仿宋_GB2312"/>
                <w:sz w:val="24"/>
                <w:color w:val="000000"/>
              </w:rPr>
              <w:t>9.用于清扫、清洗和消毒的设备、用具应放置在专用场所妥善保管。</w:t>
            </w:r>
          </w:p>
          <w:p>
            <w:pPr>
              <w:pStyle w:val="null3"/>
              <w:jc w:val="both"/>
            </w:pPr>
            <w:r>
              <w:rPr>
                <w:rFonts w:ascii="仿宋_GB2312" w:hAnsi="仿宋_GB2312" w:cs="仿宋_GB2312" w:eastAsia="仿宋_GB2312"/>
                <w:sz w:val="24"/>
                <w:color w:val="000000"/>
              </w:rPr>
              <w:t>10.杀虫剂、灭鼠剂、洗涤剂、消毒剂及有毒有害物存放均应有固定的场所（或橱柜）并上锁，包装上应有明显的警示标志，并有专人保管。采购及使用应有详细记录，使用后应进行复核，并按规定进行存放、保管。</w:t>
            </w:r>
          </w:p>
          <w:p>
            <w:pPr>
              <w:pStyle w:val="null3"/>
              <w:jc w:val="both"/>
            </w:pPr>
            <w:r>
              <w:rPr>
                <w:rFonts w:ascii="仿宋_GB2312" w:hAnsi="仿宋_GB2312" w:cs="仿宋_GB2312" w:eastAsia="仿宋_GB2312"/>
                <w:sz w:val="24"/>
                <w:color w:val="000000"/>
              </w:rPr>
              <w:t>11.食品添加剂的使用应有详细记录。食品添加剂存放应有固定的场所（或橱柜）并上锁，包装上应标示“食品添加剂”字样，并有专人保管。</w:t>
            </w:r>
          </w:p>
          <w:p>
            <w:pPr>
              <w:pStyle w:val="null3"/>
              <w:jc w:val="both"/>
            </w:pPr>
            <w:r>
              <w:rPr>
                <w:rFonts w:ascii="仿宋_GB2312" w:hAnsi="仿宋_GB2312" w:cs="仿宋_GB2312" w:eastAsia="仿宋_GB2312"/>
                <w:sz w:val="24"/>
                <w:color w:val="000000"/>
              </w:rPr>
              <w:t>12.餐饮具、设备及工具卫生消毒情况、加工操作过程关键项目、卫生检查情况、人员健康状况、教育与培训情况、食品留样、检验结果及投诉情况、处理结果、发现问题后采取的措施等均应予以记录。</w:t>
            </w:r>
          </w:p>
          <w:p>
            <w:pPr>
              <w:pStyle w:val="null3"/>
              <w:jc w:val="both"/>
            </w:pPr>
            <w:r>
              <w:rPr>
                <w:rFonts w:ascii="仿宋_GB2312" w:hAnsi="仿宋_GB2312" w:cs="仿宋_GB2312" w:eastAsia="仿宋_GB2312"/>
                <w:sz w:val="24"/>
                <w:color w:val="000000"/>
              </w:rPr>
              <w:t>（二）从业人员卫生</w:t>
            </w:r>
          </w:p>
          <w:p>
            <w:pPr>
              <w:pStyle w:val="null3"/>
              <w:jc w:val="both"/>
            </w:pPr>
            <w:r>
              <w:rPr>
                <w:rFonts w:ascii="仿宋_GB2312" w:hAnsi="仿宋_GB2312" w:cs="仿宋_GB2312" w:eastAsia="仿宋_GB2312"/>
                <w:sz w:val="24"/>
                <w:color w:val="000000"/>
              </w:rPr>
              <w:t>1.从业人员健康管理</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）餐厅从业人员每年至少进行一次健康检查。</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）新参加或临时参加工作的从业人员，应经健康检查，取得健康合格证明后方可参加工作。</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）凡患有痢疾、伤寒、病毒性肝炎等消化道传染病（包括病原携带者），活动性肺结核，化脓性或者渗出性皮肤病以及其他有碍食品卫生疾病的，不得从事接触直接入口食品的工作。</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）从业人员有发热、腹泻、皮肤伤口或感染、咽部炎症等有碍食品卫生病症的，应立即脱离工作岗位，待查明原因、排除有碍食品卫生的病症或治愈后，方可重新上岗。</w:t>
            </w:r>
          </w:p>
          <w:p>
            <w:pPr>
              <w:pStyle w:val="null3"/>
              <w:jc w:val="both"/>
            </w:pPr>
            <w:r>
              <w:rPr>
                <w:rFonts w:ascii="仿宋_GB2312" w:hAnsi="仿宋_GB2312" w:cs="仿宋_GB2312" w:eastAsia="仿宋_GB2312"/>
                <w:sz w:val="24"/>
                <w:color w:val="000000"/>
              </w:rPr>
              <w:t>2.从业人员卫生知识培训</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）对从业人员定期进行卫生知识培训。</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）新参加工作及临时参加工作的从业人员须进行卫生知识培训，合格后方能上岗。</w:t>
            </w:r>
          </w:p>
          <w:p>
            <w:pPr>
              <w:pStyle w:val="null3"/>
              <w:jc w:val="both"/>
            </w:pPr>
            <w:r>
              <w:rPr>
                <w:rFonts w:ascii="仿宋_GB2312" w:hAnsi="仿宋_GB2312" w:cs="仿宋_GB2312" w:eastAsia="仿宋_GB2312"/>
                <w:sz w:val="24"/>
                <w:color w:val="000000"/>
              </w:rPr>
              <w:t>3.从业人员个人卫生</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）应保持良好个人卫生，操作时应穿戴清洁的工作服、工作帽（专间操作人员还需戴口罩），头发不得外露，不得留长指甲，涂指甲油，佩戴饰物。</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）操作时手部应保持清洁，操作前手部应洗净。</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）接触直接入口食品的操作人员在有下列情形时应洗手：</w:t>
            </w:r>
          </w:p>
          <w:p>
            <w:pPr>
              <w:pStyle w:val="null3"/>
              <w:jc w:val="both"/>
            </w:pPr>
            <w:r>
              <w:rPr>
                <w:rFonts w:ascii="仿宋_GB2312" w:hAnsi="仿宋_GB2312" w:cs="仿宋_GB2312" w:eastAsia="仿宋_GB2312"/>
                <w:sz w:val="24"/>
                <w:color w:val="000000"/>
              </w:rPr>
              <w:t>a)开始工作前。</w:t>
            </w:r>
          </w:p>
          <w:p>
            <w:pPr>
              <w:pStyle w:val="null3"/>
              <w:jc w:val="both"/>
            </w:pPr>
            <w:r>
              <w:rPr>
                <w:rFonts w:ascii="仿宋_GB2312" w:hAnsi="仿宋_GB2312" w:cs="仿宋_GB2312" w:eastAsia="仿宋_GB2312"/>
                <w:sz w:val="24"/>
                <w:color w:val="000000"/>
              </w:rPr>
              <w:t>b)处理食物前。</w:t>
            </w:r>
          </w:p>
          <w:p>
            <w:pPr>
              <w:pStyle w:val="null3"/>
              <w:jc w:val="both"/>
            </w:pPr>
            <w:r>
              <w:rPr>
                <w:rFonts w:ascii="仿宋_GB2312" w:hAnsi="仿宋_GB2312" w:cs="仿宋_GB2312" w:eastAsia="仿宋_GB2312"/>
                <w:sz w:val="24"/>
                <w:color w:val="000000"/>
              </w:rPr>
              <w:t>c)上厕所后。</w:t>
            </w:r>
          </w:p>
          <w:p>
            <w:pPr>
              <w:pStyle w:val="null3"/>
              <w:jc w:val="both"/>
            </w:pPr>
            <w:r>
              <w:rPr>
                <w:rFonts w:ascii="仿宋_GB2312" w:hAnsi="仿宋_GB2312" w:cs="仿宋_GB2312" w:eastAsia="仿宋_GB2312"/>
                <w:sz w:val="24"/>
                <w:color w:val="000000"/>
              </w:rPr>
              <w:t>d)处理生食物后。</w:t>
            </w:r>
          </w:p>
          <w:p>
            <w:pPr>
              <w:pStyle w:val="null3"/>
              <w:jc w:val="both"/>
            </w:pPr>
            <w:r>
              <w:rPr>
                <w:rFonts w:ascii="仿宋_GB2312" w:hAnsi="仿宋_GB2312" w:cs="仿宋_GB2312" w:eastAsia="仿宋_GB2312"/>
                <w:sz w:val="24"/>
                <w:color w:val="000000"/>
              </w:rPr>
              <w:t>e)处理弄污的设备或饮食用具后。</w:t>
            </w:r>
          </w:p>
          <w:p>
            <w:pPr>
              <w:pStyle w:val="null3"/>
              <w:jc w:val="both"/>
            </w:pPr>
            <w:r>
              <w:rPr>
                <w:rFonts w:ascii="仿宋_GB2312" w:hAnsi="仿宋_GB2312" w:cs="仿宋_GB2312" w:eastAsia="仿宋_GB2312"/>
                <w:sz w:val="24"/>
                <w:color w:val="000000"/>
              </w:rPr>
              <w:t>f)咳嗽、打喷嚏，或擤鼻子后。</w:t>
            </w:r>
          </w:p>
          <w:p>
            <w:pPr>
              <w:pStyle w:val="null3"/>
              <w:jc w:val="both"/>
            </w:pPr>
            <w:r>
              <w:rPr>
                <w:rFonts w:ascii="仿宋_GB2312" w:hAnsi="仿宋_GB2312" w:cs="仿宋_GB2312" w:eastAsia="仿宋_GB2312"/>
                <w:sz w:val="24"/>
                <w:color w:val="000000"/>
              </w:rPr>
              <w:t>g)处理动物或废物后。</w:t>
            </w:r>
          </w:p>
          <w:p>
            <w:pPr>
              <w:pStyle w:val="null3"/>
              <w:jc w:val="both"/>
            </w:pPr>
            <w:r>
              <w:rPr>
                <w:rFonts w:ascii="仿宋_GB2312" w:hAnsi="仿宋_GB2312" w:cs="仿宋_GB2312" w:eastAsia="仿宋_GB2312"/>
                <w:sz w:val="24"/>
                <w:color w:val="000000"/>
              </w:rPr>
              <w:t>h)触摸耳朵、鼻子、头发、口腔或身体其他部位后。</w:t>
            </w:r>
          </w:p>
          <w:p>
            <w:pPr>
              <w:pStyle w:val="null3"/>
              <w:jc w:val="both"/>
            </w:pPr>
            <w:r>
              <w:rPr>
                <w:rFonts w:ascii="仿宋_GB2312" w:hAnsi="仿宋_GB2312" w:cs="仿宋_GB2312" w:eastAsia="仿宋_GB2312"/>
                <w:sz w:val="24"/>
                <w:color w:val="000000"/>
              </w:rPr>
              <w:t>g)从事任何可能会污染双手活动（如处理货项、执行清洁任务）后。</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）接触直接入口食品时，手部还应进行消毒。</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）专间操作人员进入专间时宜再次更换专间内专用工作衣帽并佩戴口罩，操作前双手严格进行清洗消毒，操作中应适时地消毒双手。不得穿戴专间工作衣帽从事与专间内操作无关的工作。</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）个人衣物及私人物品不得带入食品处理区。</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）食品处理区内不得有抽烟、饮食及其它可能污染食品的行为。</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）进入食品处理区的非加工操作人员，应符合现场操作人员卫生要求。</w:t>
            </w:r>
          </w:p>
          <w:p>
            <w:pPr>
              <w:pStyle w:val="null3"/>
              <w:jc w:val="both"/>
            </w:pPr>
            <w:r>
              <w:rPr>
                <w:rFonts w:ascii="仿宋_GB2312" w:hAnsi="仿宋_GB2312" w:cs="仿宋_GB2312" w:eastAsia="仿宋_GB2312"/>
                <w:sz w:val="24"/>
                <w:color w:val="000000"/>
              </w:rPr>
              <w:t>4.从业人员工作服管理</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）工作服（包括衣、帽、口罩）宜用白色（或浅色）布料制作，也可按其工作的场所从颜色或式样上进行区分，如粗加工、烹调、仓库、清洁等区域。</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）工作服应有清洗保洁制度，定期进行更换，保持清洁。</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）接触直接入口食品人员的工作服应每天更换。</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）从业人员上厕所前应在食品处理区内脱去工作服。</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）待清洗的工作服应放在远离食品处理区。</w:t>
            </w:r>
          </w:p>
          <w:p>
            <w:pPr>
              <w:pStyle w:val="null3"/>
              <w:jc w:val="both"/>
            </w:pPr>
            <w:r>
              <w:rPr>
                <w:rFonts w:ascii="仿宋_GB2312" w:hAnsi="仿宋_GB2312" w:cs="仿宋_GB2312" w:eastAsia="仿宋_GB2312"/>
                <w:sz w:val="24"/>
                <w:color w:val="000000"/>
              </w:rPr>
              <w:t>5.食品贮存</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）使用应遵循先进先出的原则。</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）定期检查，及时处理变质或超过保质期限的食品。</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）禁止存放有毒、有害物品及个人生活物品。</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）食品冷藏、冷冻贮藏应做到：</w:t>
            </w:r>
          </w:p>
          <w:p>
            <w:pPr>
              <w:pStyle w:val="null3"/>
              <w:jc w:val="both"/>
            </w:pPr>
            <w:r>
              <w:rPr>
                <w:rFonts w:ascii="仿宋_GB2312" w:hAnsi="仿宋_GB2312" w:cs="仿宋_GB2312" w:eastAsia="仿宋_GB2312"/>
                <w:sz w:val="24"/>
                <w:color w:val="000000"/>
              </w:rPr>
              <w:t>a)原料、半成品、成品严格分开，不得在同一冰室内存放，冷藏、冷冻柜（库）应有明显区分标志。</w:t>
            </w:r>
          </w:p>
          <w:p>
            <w:pPr>
              <w:pStyle w:val="null3"/>
              <w:jc w:val="both"/>
            </w:pPr>
            <w:r>
              <w:rPr>
                <w:rFonts w:ascii="仿宋_GB2312" w:hAnsi="仿宋_GB2312" w:cs="仿宋_GB2312" w:eastAsia="仿宋_GB2312"/>
                <w:sz w:val="24"/>
                <w:color w:val="000000"/>
              </w:rPr>
              <w:t>b)食品在冷藏、冷冻柜（库）内贮藏时，应做到植物性食品、动物性食品和水产品分类摆放。</w:t>
            </w:r>
          </w:p>
          <w:p>
            <w:pPr>
              <w:pStyle w:val="null3"/>
              <w:jc w:val="both"/>
            </w:pPr>
            <w:r>
              <w:rPr>
                <w:rFonts w:ascii="仿宋_GB2312" w:hAnsi="仿宋_GB2312" w:cs="仿宋_GB2312" w:eastAsia="仿宋_GB2312"/>
                <w:sz w:val="24"/>
                <w:color w:val="000000"/>
              </w:rPr>
              <w:t>c)食品在冷藏、冷冻柜（库）内贮藏时，为确保食品中心温度达到冷藏或冷冻的温度要求，不得将食品堆积、挤压存放。</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）加强食品贮存室（仓库）管理，经常开窗开排气扇通风，保持干燥。</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）冷藏、冷冻及保温设施应当定期除霜、清洁、除臭和维修，温度指示装置应当定期校验，确保正常运转和使用。</w:t>
            </w:r>
          </w:p>
          <w:p>
            <w:pPr>
              <w:pStyle w:val="null3"/>
              <w:jc w:val="both"/>
            </w:pPr>
            <w:r>
              <w:rPr>
                <w:rFonts w:ascii="仿宋_GB2312" w:hAnsi="仿宋_GB2312" w:cs="仿宋_GB2312" w:eastAsia="仿宋_GB2312"/>
                <w:sz w:val="24"/>
                <w:color w:val="000000"/>
              </w:rPr>
              <w:t>七、考核标准</w:t>
            </w:r>
          </w:p>
          <w:p>
            <w:pPr>
              <w:pStyle w:val="null3"/>
              <w:jc w:val="both"/>
            </w:pPr>
            <w:r>
              <w:rPr>
                <w:rFonts w:ascii="仿宋_GB2312" w:hAnsi="仿宋_GB2312" w:cs="仿宋_GB2312" w:eastAsia="仿宋_GB2312"/>
                <w:sz w:val="24"/>
                <w:color w:val="000000"/>
              </w:rPr>
              <w:t>（一）考核内容和考核标准</w:t>
            </w:r>
          </w:p>
          <w:p>
            <w:pPr>
              <w:pStyle w:val="null3"/>
              <w:jc w:val="both"/>
            </w:pPr>
            <w:r>
              <w:rPr>
                <w:rFonts w:ascii="仿宋_GB2312" w:hAnsi="仿宋_GB2312" w:cs="仿宋_GB2312" w:eastAsia="仿宋_GB2312"/>
                <w:sz w:val="24"/>
                <w:color w:val="000000"/>
              </w:rPr>
              <w:t>把实现餐厅供餐标准过程中的主要环节的工作作为考核内容。具体内容和对应的标准分别是：</w:t>
            </w:r>
          </w:p>
          <w:p>
            <w:pPr>
              <w:pStyle w:val="null3"/>
              <w:jc w:val="both"/>
            </w:pPr>
            <w:r>
              <w:rPr>
                <w:rFonts w:ascii="仿宋_GB2312" w:hAnsi="仿宋_GB2312" w:cs="仿宋_GB2312" w:eastAsia="仿宋_GB2312"/>
                <w:sz w:val="24"/>
                <w:color w:val="000000"/>
              </w:rPr>
              <w:t>1.主、副食品类设计合理性考核</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）每个包厨单位主副食品种不能少于招标文件提出的需求标准，品种体现多样化；</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2）色、形、味符合要求；营养配置合理，有益于个性选择和健康；满意程度要高，每月就餐人数不能低于稳定后的就餐人数的80%。</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3）供餐按菜单计划供应，未经批准不得随意调换或更换菜单。</w:t>
            </w:r>
          </w:p>
          <w:p>
            <w:pPr>
              <w:pStyle w:val="null3"/>
              <w:jc w:val="both"/>
            </w:pPr>
            <w:r>
              <w:rPr>
                <w:rFonts w:ascii="仿宋_GB2312" w:hAnsi="仿宋_GB2312" w:cs="仿宋_GB2312" w:eastAsia="仿宋_GB2312"/>
                <w:sz w:val="24"/>
                <w:color w:val="000000"/>
              </w:rPr>
              <w:t>2.售饭服务水平考核</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）餐具清洗干净，消毒彻底；</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2）服务人员、工作人员，仪表端庄、服饰整洁、态度和蔼热情、有求必应；</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3）供餐不能出现怠慢和与就餐者发生矛盾等现象。</w:t>
            </w:r>
          </w:p>
          <w:p>
            <w:pPr>
              <w:pStyle w:val="null3"/>
              <w:jc w:val="both"/>
            </w:pPr>
            <w:r>
              <w:rPr>
                <w:rFonts w:ascii="仿宋_GB2312" w:hAnsi="仿宋_GB2312" w:cs="仿宋_GB2312" w:eastAsia="仿宋_GB2312"/>
                <w:sz w:val="24"/>
                <w:color w:val="000000"/>
              </w:rPr>
              <w:t>3.食品卫生考核</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1）原料领取、运送、保管不能出现污染；</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2）原料储存不能出现鼠咬、虫蛀、霉变，更不能使用鼠咬、虫蛀和霉变的原料加工食品；</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3）原料保管、加工过程，食品运送储放以及工具设备，必须按相关规定做到，荤素分开、生熟分开、冷热分开。</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4)凡出现食品安全事故，无论事故大小。该项考核为不合格。</w:t>
            </w:r>
          </w:p>
          <w:p>
            <w:pPr>
              <w:pStyle w:val="null3"/>
              <w:jc w:val="both"/>
            </w:pPr>
            <w:r>
              <w:rPr>
                <w:rFonts w:ascii="仿宋_GB2312" w:hAnsi="仿宋_GB2312" w:cs="仿宋_GB2312" w:eastAsia="仿宋_GB2312"/>
                <w:sz w:val="24"/>
                <w:color w:val="000000"/>
              </w:rPr>
              <w:t>4.操作、服务人员卫生考核</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1）所有食堂工作人员必须持健康证上岗，并且每年一次体检，核定上岗条件持证上岗；</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2）食堂工作人员班前班后坚持对自己的洗、消制度，不能出现“三长”现象；</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3）进操作区域着工作服，出操作区域换便装；售饭时必须戴口罩和卫生手套。</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4）各餐区实行服务考评登记，年终实行服务考评总结评比。</w:t>
            </w:r>
          </w:p>
          <w:p>
            <w:pPr>
              <w:pStyle w:val="null3"/>
              <w:jc w:val="both"/>
            </w:pPr>
            <w:r>
              <w:rPr>
                <w:rFonts w:ascii="仿宋_GB2312" w:hAnsi="仿宋_GB2312" w:cs="仿宋_GB2312" w:eastAsia="仿宋_GB2312"/>
                <w:sz w:val="24"/>
                <w:color w:val="000000"/>
              </w:rPr>
              <w:t>5.工作环境卫生考核。</w:t>
            </w:r>
          </w:p>
          <w:p>
            <w:pPr>
              <w:pStyle w:val="null3"/>
              <w:jc w:val="both"/>
            </w:pPr>
            <w:r>
              <w:rPr>
                <w:rFonts w:ascii="仿宋_GB2312" w:hAnsi="仿宋_GB2312" w:cs="仿宋_GB2312" w:eastAsia="仿宋_GB2312"/>
                <w:sz w:val="24"/>
                <w:color w:val="000000"/>
              </w:rPr>
              <w:t>操作间设施物品放置有序，无污尘、油垢；下水沟无堵塞、无污水、无积物；地面干净无油垢；餐厅窗明地净，无废弃物；桌椅无残留物和油垢；洗手间清洗及时无异味，手纸、洗手液配置齐备不断档。</w:t>
            </w:r>
          </w:p>
          <w:p>
            <w:pPr>
              <w:pStyle w:val="null3"/>
              <w:jc w:val="both"/>
            </w:pPr>
            <w:r>
              <w:rPr>
                <w:rFonts w:ascii="仿宋_GB2312" w:hAnsi="仿宋_GB2312" w:cs="仿宋_GB2312" w:eastAsia="仿宋_GB2312"/>
                <w:sz w:val="24"/>
                <w:color w:val="000000"/>
              </w:rPr>
              <w:t>6.设备使用、管理制度考核</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）低值易耗品由乙方自行更换，但必须是正牌优质品；</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2）大型设备（炉灶、烤箱、机械、冰柜等）日常维护；</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）设备的使用、管理必须有专人负责，设备不能出现人为损坏造成无法使用的现象；</w:t>
            </w:r>
          </w:p>
          <w:p>
            <w:pPr>
              <w:pStyle w:val="null3"/>
              <w:jc w:val="both"/>
            </w:pPr>
            <w:r>
              <w:rPr>
                <w:rFonts w:ascii="仿宋_GB2312" w:hAnsi="仿宋_GB2312" w:cs="仿宋_GB2312" w:eastAsia="仿宋_GB2312"/>
                <w:sz w:val="24"/>
                <w:color w:val="000000"/>
              </w:rPr>
              <w:t>7.安全用电、用气和防火、防盗、防投毒情况考核</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1）各操作间必须有安全用电、用气、用设备“三防”制度及措施；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2）各操作间设专人主抓安全和“三防”工作，并对日常检查情况详实记录；</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3）必须严格执行班后关闭操作间电、气总阀，班前检查电、气管线，并做好非用电情况下的换气、通风的安全工作程序；</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4）坚持食品留样制度，留样食品必须保持在48小时以上。</w:t>
            </w:r>
          </w:p>
          <w:p>
            <w:pPr>
              <w:pStyle w:val="null3"/>
              <w:jc w:val="both"/>
            </w:pPr>
            <w:r>
              <w:rPr>
                <w:rFonts w:ascii="仿宋_GB2312" w:hAnsi="仿宋_GB2312" w:cs="仿宋_GB2312" w:eastAsia="仿宋_GB2312"/>
                <w:sz w:val="24"/>
                <w:color w:val="000000"/>
              </w:rPr>
              <w:t>8.意外事故考核</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1）就餐者在就餐过程中，因餐厅地面打扫不及时而导致的摔倒、磕伤、碰伤等引起的一切故事，按服务不合格对待；</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2）因原材料清洗不干净或程序不规范造成食物中毒或其他问题所引发的一切事故，按服务不合格对待。</w:t>
            </w:r>
          </w:p>
          <w:p>
            <w:pPr>
              <w:pStyle w:val="null3"/>
              <w:jc w:val="both"/>
            </w:pPr>
            <w:r>
              <w:rPr>
                <w:rFonts w:ascii="仿宋_GB2312" w:hAnsi="仿宋_GB2312" w:cs="仿宋_GB2312" w:eastAsia="仿宋_GB2312"/>
                <w:sz w:val="24"/>
                <w:color w:val="000000"/>
              </w:rPr>
              <w:t>9.人员管理、教育和遵守规定情况考核</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1）工作人员衣帽端正，言行举止得体；遵守机关工作纪律和规定，没有违纪违法行为；</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2）与同事和其他单位人员关系和谐，无打架斗殴现象；</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3）宿舍管理有序、整洁，并设有专人从事对人员和宿舍的管理工作。</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）工作人员按规定要求上岗，无严重缺人或缺勤情况。</w:t>
            </w:r>
          </w:p>
          <w:p>
            <w:pPr>
              <w:pStyle w:val="null3"/>
              <w:jc w:val="both"/>
            </w:pPr>
            <w:r>
              <w:rPr>
                <w:rFonts w:ascii="仿宋_GB2312" w:hAnsi="仿宋_GB2312" w:cs="仿宋_GB2312" w:eastAsia="仿宋_GB2312"/>
                <w:sz w:val="24"/>
                <w:color w:val="000000"/>
              </w:rPr>
              <w:t>10.临时任务完成情况考核</w:t>
            </w:r>
          </w:p>
          <w:p>
            <w:pPr>
              <w:pStyle w:val="null3"/>
              <w:jc w:val="both"/>
            </w:pPr>
            <w:r>
              <w:rPr>
                <w:rFonts w:ascii="仿宋_GB2312" w:hAnsi="仿宋_GB2312" w:cs="仿宋_GB2312" w:eastAsia="仿宋_GB2312"/>
                <w:sz w:val="24"/>
                <w:color w:val="000000"/>
              </w:rPr>
              <w:t>配合积极、落实迅速；服从指导，组织周密；领会任务到位，服务保障效果出色。</w:t>
            </w:r>
          </w:p>
          <w:p>
            <w:pPr>
              <w:pStyle w:val="null3"/>
              <w:jc w:val="both"/>
            </w:pPr>
            <w:r>
              <w:rPr>
                <w:rFonts w:ascii="仿宋_GB2312" w:hAnsi="仿宋_GB2312" w:cs="仿宋_GB2312" w:eastAsia="仿宋_GB2312"/>
                <w:sz w:val="24"/>
                <w:color w:val="000000"/>
              </w:rPr>
              <w:t>（二）考核的方法和实施</w:t>
            </w:r>
          </w:p>
          <w:p>
            <w:pPr>
              <w:pStyle w:val="null3"/>
              <w:jc w:val="both"/>
            </w:pPr>
            <w:r>
              <w:rPr>
                <w:rFonts w:ascii="仿宋_GB2312" w:hAnsi="仿宋_GB2312" w:cs="仿宋_GB2312" w:eastAsia="仿宋_GB2312"/>
                <w:sz w:val="24"/>
                <w:color w:val="000000"/>
              </w:rPr>
              <w:t>由食堂管理员负责日常性考核。通过每天检查各包厨单位工作的方法，对人员着装和操作规范情况、卫生水平、服务质量、饭菜品质、原料使用、设备使用、安全制度落实、食谱公布、售饭服务等情况作出考核，并每月向处办公室汇总报告，作为考核结果的基本依据。</w:t>
            </w:r>
          </w:p>
          <w:p>
            <w:pPr>
              <w:pStyle w:val="null3"/>
              <w:jc w:val="both"/>
            </w:pPr>
            <w:r>
              <w:rPr>
                <w:rFonts w:ascii="仿宋_GB2312" w:hAnsi="仿宋_GB2312" w:cs="仿宋_GB2312" w:eastAsia="仿宋_GB2312"/>
                <w:sz w:val="24"/>
                <w:color w:val="000000"/>
              </w:rPr>
              <w:t>（三）考核结果的使用</w:t>
            </w:r>
          </w:p>
          <w:p>
            <w:pPr>
              <w:pStyle w:val="null3"/>
              <w:jc w:val="both"/>
            </w:pPr>
            <w:r>
              <w:rPr>
                <w:rFonts w:ascii="仿宋_GB2312" w:hAnsi="仿宋_GB2312" w:cs="仿宋_GB2312" w:eastAsia="仿宋_GB2312"/>
                <w:sz w:val="24"/>
                <w:color w:val="000000"/>
              </w:rPr>
              <w:t>考核结果必须用于对被考核方的奖惩，以达促进工作之功效。根据现在食堂的运行机制和经费划拨方式，考核结果的使用拟定为：</w:t>
            </w:r>
          </w:p>
          <w:p>
            <w:pPr>
              <w:pStyle w:val="null3"/>
              <w:jc w:val="both"/>
            </w:pPr>
            <w:r>
              <w:rPr>
                <w:rFonts w:ascii="仿宋_GB2312" w:hAnsi="仿宋_GB2312" w:cs="仿宋_GB2312" w:eastAsia="仿宋_GB2312"/>
                <w:sz w:val="24"/>
                <w:color w:val="000000"/>
              </w:rPr>
              <w:t>①作为是否继续签订下年度包厨合同的依据。</w:t>
            </w:r>
          </w:p>
          <w:p>
            <w:pPr>
              <w:pStyle w:val="null3"/>
              <w:jc w:val="both"/>
            </w:pPr>
            <w:r>
              <w:rPr>
                <w:rFonts w:ascii="仿宋_GB2312" w:hAnsi="仿宋_GB2312" w:cs="仿宋_GB2312" w:eastAsia="仿宋_GB2312"/>
                <w:sz w:val="24"/>
                <w:color w:val="000000"/>
              </w:rPr>
              <w:t>②作为向采购人提出是否满额拨付包厨经费之依据。</w:t>
            </w:r>
          </w:p>
          <w:p>
            <w:pPr>
              <w:pStyle w:val="null3"/>
              <w:jc w:val="both"/>
            </w:pPr>
            <w:r>
              <w:rPr>
                <w:rFonts w:ascii="仿宋_GB2312" w:hAnsi="仿宋_GB2312" w:cs="仿宋_GB2312" w:eastAsia="仿宋_GB2312"/>
                <w:sz w:val="24"/>
                <w:color w:val="000000"/>
              </w:rPr>
              <w:t>③对考核成绩优秀和在完成临时任务表现出色的单位，给予适当形式的奖励。</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rPr>
              <w:t>人员配置要求</w:t>
            </w:r>
          </w:p>
          <w:p>
            <w:pPr>
              <w:pStyle w:val="null3"/>
            </w:pPr>
            <w:r>
              <w:rPr>
                <w:rFonts w:ascii="仿宋_GB2312" w:hAnsi="仿宋_GB2312" w:cs="仿宋_GB2312" w:eastAsia="仿宋_GB2312"/>
                <w:sz w:val="24"/>
              </w:rPr>
              <w:t>1.员工身体健康要求。</w:t>
            </w:r>
            <w:r>
              <w:rPr>
                <w:rFonts w:ascii="仿宋_GB2312" w:hAnsi="仿宋_GB2312" w:cs="仿宋_GB2312" w:eastAsia="仿宋_GB2312"/>
                <w:sz w:val="24"/>
              </w:rPr>
              <w:t>餐厅所有员工必须持有效健康证上岗。无健康合格证者，不得在餐厅工作。工作人员必须身体健康，无各种遗传性疾病</w:t>
            </w:r>
            <w:r>
              <w:rPr>
                <w:rFonts w:ascii="仿宋_GB2312" w:hAnsi="仿宋_GB2312" w:cs="仿宋_GB2312" w:eastAsia="仿宋_GB2312"/>
                <w:sz w:val="24"/>
              </w:rPr>
              <w:t>。</w:t>
            </w:r>
          </w:p>
          <w:p>
            <w:pPr>
              <w:pStyle w:val="null3"/>
            </w:pPr>
            <w:r>
              <w:rPr>
                <w:rFonts w:ascii="仿宋_GB2312" w:hAnsi="仿宋_GB2312" w:cs="仿宋_GB2312" w:eastAsia="仿宋_GB2312"/>
                <w:sz w:val="24"/>
              </w:rPr>
              <w:t>2.餐厅经理要求大专及以上学历，熟练操作office办公软件，对菜品研发及成本核算具有一定经验，具备良好的沟通协调能力、服务意识，办事有条理，工作严谨认真。</w:t>
            </w:r>
          </w:p>
          <w:p>
            <w:pPr>
              <w:pStyle w:val="null3"/>
            </w:pPr>
            <w:r>
              <w:rPr>
                <w:rFonts w:ascii="仿宋_GB2312" w:hAnsi="仿宋_GB2312" w:cs="仿宋_GB2312" w:eastAsia="仿宋_GB2312"/>
                <w:sz w:val="24"/>
              </w:rPr>
              <w:t>3.</w:t>
            </w:r>
            <w:r>
              <w:rPr>
                <w:rFonts w:ascii="仿宋_GB2312" w:hAnsi="仿宋_GB2312" w:cs="仿宋_GB2312" w:eastAsia="仿宋_GB2312"/>
                <w:sz w:val="24"/>
              </w:rPr>
              <w:t>厨师长具有国家职业资格认定的专业证书</w:t>
            </w:r>
            <w:r>
              <w:rPr>
                <w:rFonts w:ascii="仿宋_GB2312" w:hAnsi="仿宋_GB2312" w:cs="仿宋_GB2312" w:eastAsia="仿宋_GB2312"/>
                <w:sz w:val="24"/>
              </w:rPr>
              <w:t>，</w:t>
            </w:r>
            <w:r>
              <w:rPr>
                <w:rFonts w:ascii="仿宋_GB2312" w:hAnsi="仿宋_GB2312" w:cs="仿宋_GB2312" w:eastAsia="仿宋_GB2312"/>
                <w:sz w:val="24"/>
              </w:rPr>
              <w:t>有机关单位餐厅后厨管理经验，懂成本核算，具有一定的沟通、协调能力，办事有条理，工作严谨认真。</w:t>
            </w:r>
          </w:p>
          <w:p>
            <w:pPr>
              <w:pStyle w:val="null3"/>
            </w:pPr>
            <w:r>
              <w:rPr>
                <w:rFonts w:ascii="仿宋_GB2312" w:hAnsi="仿宋_GB2312" w:cs="仿宋_GB2312" w:eastAsia="仿宋_GB2312"/>
                <w:sz w:val="24"/>
              </w:rPr>
              <w:t>4.</w:t>
            </w:r>
            <w:r>
              <w:rPr>
                <w:rFonts w:ascii="仿宋_GB2312" w:hAnsi="仿宋_GB2312" w:cs="仿宋_GB2312" w:eastAsia="仿宋_GB2312"/>
                <w:sz w:val="24"/>
              </w:rPr>
              <w:t>服务员有餐厅服务工作经验，口齿清晰。</w:t>
            </w:r>
          </w:p>
          <w:p>
            <w:pPr>
              <w:pStyle w:val="null3"/>
            </w:pPr>
            <w:r>
              <w:rPr>
                <w:rFonts w:ascii="仿宋_GB2312" w:hAnsi="仿宋_GB2312" w:cs="仿宋_GB2312" w:eastAsia="仿宋_GB2312"/>
                <w:sz w:val="24"/>
              </w:rPr>
              <w:t>5.</w:t>
            </w:r>
            <w:r>
              <w:rPr>
                <w:rFonts w:ascii="仿宋_GB2312" w:hAnsi="仿宋_GB2312" w:cs="仿宋_GB2312" w:eastAsia="仿宋_GB2312"/>
                <w:sz w:val="24"/>
              </w:rPr>
              <w:t>员工品德要求。要有敬业精神，要有良好的职业道德，诚实讲信用。</w:t>
            </w:r>
          </w:p>
          <w:p>
            <w:pPr>
              <w:pStyle w:val="null3"/>
            </w:pPr>
            <w:r>
              <w:rPr>
                <w:rFonts w:ascii="仿宋_GB2312" w:hAnsi="仿宋_GB2312" w:cs="仿宋_GB2312" w:eastAsia="仿宋_GB2312"/>
                <w:sz w:val="24"/>
              </w:rPr>
              <w:t>6.</w:t>
            </w:r>
            <w:r>
              <w:rPr>
                <w:rFonts w:ascii="仿宋_GB2312" w:hAnsi="仿宋_GB2312" w:cs="仿宋_GB2312" w:eastAsia="仿宋_GB2312"/>
                <w:sz w:val="24"/>
              </w:rPr>
              <w:t>餐厅所有员工由服务商自行招聘，餐厅员工的工资和福利均由服务商承担。</w:t>
            </w:r>
          </w:p>
          <w:p>
            <w:pPr>
              <w:pStyle w:val="null3"/>
            </w:pPr>
            <w:r>
              <w:rPr>
                <w:rFonts w:ascii="仿宋_GB2312" w:hAnsi="仿宋_GB2312" w:cs="仿宋_GB2312" w:eastAsia="仿宋_GB2312"/>
                <w:sz w:val="24"/>
              </w:rPr>
              <w:t>7.</w:t>
            </w:r>
            <w:r>
              <w:rPr>
                <w:rFonts w:ascii="仿宋_GB2312" w:hAnsi="仿宋_GB2312" w:cs="仿宋_GB2312" w:eastAsia="仿宋_GB2312"/>
                <w:sz w:val="24"/>
              </w:rPr>
              <w:t>具有资质的厨师不少于</w:t>
            </w:r>
            <w:r>
              <w:rPr>
                <w:rFonts w:ascii="仿宋_GB2312" w:hAnsi="仿宋_GB2312" w:cs="仿宋_GB2312" w:eastAsia="仿宋_GB2312"/>
                <w:sz w:val="24"/>
              </w:rPr>
              <w:t>4</w:t>
            </w:r>
            <w:r>
              <w:rPr>
                <w:rFonts w:ascii="仿宋_GB2312" w:hAnsi="仿宋_GB2312" w:cs="仿宋_GB2312" w:eastAsia="仿宋_GB2312"/>
                <w:sz w:val="24"/>
              </w:rPr>
              <w:t>人。</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b/>
              </w:rPr>
              <w:t>设施设备要求</w:t>
            </w:r>
          </w:p>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设备及餐具初次由采购人配齐，运行后餐具用品补充、增加由采购人</w:t>
            </w:r>
            <w:r>
              <w:rPr>
                <w:rFonts w:ascii="仿宋_GB2312" w:hAnsi="仿宋_GB2312" w:cs="仿宋_GB2312" w:eastAsia="仿宋_GB2312"/>
                <w:sz w:val="24"/>
              </w:rPr>
              <w:t>负担</w:t>
            </w:r>
            <w:r>
              <w:rPr>
                <w:rFonts w:ascii="仿宋_GB2312" w:hAnsi="仿宋_GB2312" w:cs="仿宋_GB2312" w:eastAsia="仿宋_GB2312"/>
                <w:sz w:val="24"/>
              </w:rPr>
              <w:t>。设备增加由服务商提出需求，由采购人根据实际需求进行配置，餐厅桌椅维修、灯光照明设备维修费用由采购人承担。油烟罩清洗及燃气报警装置维修维护费用由采购人承担。售饭系统由采购人担负。</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2025年10月1日—2026年12月31日，服务期限到期前，甲、乙双方对合同继续履行无异议，续签一年合同。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渭南市民综合服务中心第二餐厅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根据合同要求对餐饮服务进行考核，根据考核结果，支付服务费用。</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6.76</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若乙方所提供的服务未能满足合同所约定的标准，甲方有权要求乙方在限定时间内进行整改。若整改后服务标准仍未达到合同约定，甲方则有权终止合同，并且若因此产生经济损失，乙方应承担相应的赔偿责任。 2.若甲方违反合同条款导致乙方无法完成服务内容，乙方有权要求甲方在特定时间内予以解决。若甲方逾期未解决并导致乙方遭受经济损失，甲方应负责赔偿。 3.对于本合同未明确规定的事项，双方应本着友好协商的原则，通过书面形式签订补充协议，该补充协议与本合同具有同等法律效力。对于补充协议仍未涵盖的事项，应依照国家及地方的相关法律法规和规章进行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须提供合法注册的法人或其他组织的营业执照等证明文件，自然人须提供的身份证明文件；供应商需在项目电子化交易系统中按要求上传合法注册的法人或其他组织的营业执照等证明文件，自然人上传身份证明，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供应商应授权合法的人员参加政府采购活动的，（供应商为法人单位的）法定代表人亲自参加时，须提供法定代表人（负责人）身份证明及法人身份证复印件；法定代表人授权他人参加时，须提供法定代表人委托授权书及授权代表身份证。（供应商为非法人单位的）响应文件中凡是需要法定代表人签字或盖章之处，非法人单位的负责人均参照执行。法人的分支机构参与时，响应文件中应附法人给分支机构出具的授权书。授权书附在《法定代表人授权委托书》后，如无授权，将被视为无效文件。法人只能授权一家分支机构参与，且不能与分支机构同时参与。 供应商需在项目电子化交易系统中按要求上传法定代表人身份证明或法定代表人授权书及授权代表身份证证明文件，并进行电子签章。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法定代表人证明书或授权委托书.docx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参与政府采购活动前三年（2022.8-2025.8）内在经营活动中没有重大违法记录的书面声明；供应商需在项目电子化交易系统中按要求上传参与政府采购活动前三年内在经营活动中没有重大违法记录的书面声明，并进行电子签章。</w:t>
            </w:r>
          </w:p>
        </w:tc>
        <w:tc>
          <w:tcPr>
            <w:tcW w:type="dxa" w:w="1661"/>
          </w:tcPr>
          <w:p>
            <w:pPr>
              <w:pStyle w:val="null3"/>
            </w:pPr>
            <w:r>
              <w:rPr>
                <w:rFonts w:ascii="仿宋_GB2312" w:hAnsi="仿宋_GB2312" w:cs="仿宋_GB2312" w:eastAsia="仿宋_GB2312"/>
              </w:rPr>
              <w:t>三年内无重大违法记录书面声明函.docx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有依法纳税和社会保障资金的良好记录</w:t>
            </w:r>
          </w:p>
        </w:tc>
        <w:tc>
          <w:tcPr>
            <w:tcW w:type="dxa" w:w="3322"/>
          </w:tcPr>
          <w:p>
            <w:pPr>
              <w:pStyle w:val="null3"/>
            </w:pPr>
            <w:r>
              <w:rPr>
                <w:rFonts w:ascii="仿宋_GB2312" w:hAnsi="仿宋_GB2312" w:cs="仿宋_GB2312" w:eastAsia="仿宋_GB2312"/>
              </w:rPr>
              <w:t>供应商须提供采购活动前一年（2024.8-2025.8）内任意一个月的完税证明（税种为增值税或企业所得税）及缴纳社会保险证明缴费种类至少包括养老保险，依法免税的、依法不需要缴纳社会保障资金的应提供相关文件证明；供应商需在项目电子化交易系统中按要求上传前一年内任意一个月的完税证明及缴纳社会保险证明，免税的、依法不需要缴纳社会保障资金的上传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具备良好的商业信誉和健全的财务会计制度</w:t>
            </w:r>
          </w:p>
        </w:tc>
        <w:tc>
          <w:tcPr>
            <w:tcW w:type="dxa" w:w="3322"/>
          </w:tcPr>
          <w:p>
            <w:pPr>
              <w:pStyle w:val="null3"/>
            </w:pPr>
            <w:r>
              <w:rPr>
                <w:rFonts w:ascii="仿宋_GB2312" w:hAnsi="仿宋_GB2312" w:cs="仿宋_GB2312" w:eastAsia="仿宋_GB2312"/>
              </w:rPr>
              <w:t>供应商须提供具有财务审计资质单位出具的2024年度财务报告或招标采购活动前六个月内其基本账户银行出具的资信证明，成立时间至提交首次响应文件截止时间不足一年的可提供成立后任意时段的资产负债表；供应商需在项目电子化交易系统中按要求上传2024年度财务报告或采购活动前六个月内其基本账户银行出具的资信证明或资产负债表，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案件当事人”名单；不处于“中国政府采购网”记录的“政府采购严重违法失信行为记录名单”中的禁止参加政府采购活动期间。：供应商需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信用记录声明.docx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本项目不接受联合体投标，不允许分包。投标人应提供《非联合体不分包投标声明》，视为独立投标，不分包。</w:t>
            </w:r>
          </w:p>
        </w:tc>
        <w:tc>
          <w:tcPr>
            <w:tcW w:type="dxa" w:w="3322"/>
          </w:tcPr>
          <w:p>
            <w:pPr>
              <w:pStyle w:val="null3"/>
            </w:pPr>
            <w:r>
              <w:rPr>
                <w:rFonts w:ascii="仿宋_GB2312" w:hAnsi="仿宋_GB2312" w:cs="仿宋_GB2312" w:eastAsia="仿宋_GB2312"/>
              </w:rPr>
              <w:t>供应商需在项目电子化交易系统中按要求上传《非联合体不分包投标声明》并进行电子签章。</w:t>
            </w:r>
          </w:p>
        </w:tc>
        <w:tc>
          <w:tcPr>
            <w:tcW w:type="dxa" w:w="1661"/>
          </w:tcPr>
          <w:p>
            <w:pPr>
              <w:pStyle w:val="null3"/>
            </w:pPr>
            <w:r>
              <w:rPr>
                <w:rFonts w:ascii="仿宋_GB2312" w:hAnsi="仿宋_GB2312" w:cs="仿宋_GB2312" w:eastAsia="仿宋_GB2312"/>
              </w:rPr>
              <w:t>非联合体不分包投标声明.docx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提供合法有效的《食品经营许可证》。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参与的供应商（联合体）服务全部由符合政策要求的中小企业承接（监狱企业或残疾人福利性单位视同小型、微型企业）。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响应文件项目名称、项目编号</w:t>
            </w:r>
          </w:p>
        </w:tc>
        <w:tc>
          <w:tcPr>
            <w:tcW w:type="dxa" w:w="3322"/>
          </w:tcPr>
          <w:p>
            <w:pPr>
              <w:pStyle w:val="null3"/>
            </w:pPr>
            <w:r>
              <w:rPr>
                <w:rFonts w:ascii="仿宋_GB2312" w:hAnsi="仿宋_GB2312" w:cs="仿宋_GB2312" w:eastAsia="仿宋_GB2312"/>
              </w:rPr>
              <w:t>响应文件以下三处的项目名称、项目编号无遗漏，且与本项目一致： （1）封面； （2）响应函； （3）法定代表人委托授权书。 说明：以采购文件-投标邀请中的项目名称、项目编号为准。</w:t>
            </w:r>
          </w:p>
        </w:tc>
        <w:tc>
          <w:tcPr>
            <w:tcW w:type="dxa" w:w="1661"/>
          </w:tcPr>
          <w:p>
            <w:pPr>
              <w:pStyle w:val="null3"/>
            </w:pPr>
            <w:r>
              <w:rPr>
                <w:rFonts w:ascii="仿宋_GB2312" w:hAnsi="仿宋_GB2312" w:cs="仿宋_GB2312" w:eastAsia="仿宋_GB2312"/>
              </w:rPr>
              <w:t>法定代表人证明书或授权委托书.docx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报价组成分项表.docx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签字、盖章符合招标文件要求，且无遗漏。</w:t>
            </w:r>
          </w:p>
        </w:tc>
        <w:tc>
          <w:tcPr>
            <w:tcW w:type="dxa" w:w="1661"/>
          </w:tcPr>
          <w:p>
            <w:pPr>
              <w:pStyle w:val="null3"/>
            </w:pPr>
            <w:r>
              <w:rPr>
                <w:rFonts w:ascii="仿宋_GB2312" w:hAnsi="仿宋_GB2312" w:cs="仿宋_GB2312" w:eastAsia="仿宋_GB2312"/>
              </w:rPr>
              <w:t>三年内无重大违法记录书面声明函.docx 开标一览表 服务内容及服务邀请应答表 人员方案及证明资料.docx 业绩证明.docx 中小企业声明函 商务应答表 供应商承诺书（一）（二）.docx 非联合体不分包投标声明.docx 投标人应提交的相关资格证明材料 信用记录声明.docx 合同文本.docx 法定代表人证明书或授权委托书.docx 报价组成分项表.docx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（1）投标报价符合唯一性要求； （2）开标一览表填写符合要求； （3）报价货币符合招标文件要求；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报价组成分项表.docx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完全理解并接受招标文件合同条款的要求。</w:t>
            </w:r>
          </w:p>
        </w:tc>
        <w:tc>
          <w:tcPr>
            <w:tcW w:type="dxa" w:w="1661"/>
          </w:tcPr>
          <w:p>
            <w:pPr>
              <w:pStyle w:val="null3"/>
            </w:pPr>
            <w:r>
              <w:rPr>
                <w:rFonts w:ascii="仿宋_GB2312" w:hAnsi="仿宋_GB2312" w:cs="仿宋_GB2312" w:eastAsia="仿宋_GB2312"/>
              </w:rPr>
              <w:t>合同文本.docx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投标人承诺</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供应商承诺书（一）（二）.docx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证件要求</w:t>
            </w:r>
          </w:p>
        </w:tc>
        <w:tc>
          <w:tcPr>
            <w:tcW w:type="dxa" w:w="2492"/>
          </w:tcPr>
          <w:p>
            <w:pPr>
              <w:pStyle w:val="null3"/>
            </w:pPr>
            <w:r>
              <w:rPr>
                <w:rFonts w:ascii="仿宋_GB2312" w:hAnsi="仿宋_GB2312" w:cs="仿宋_GB2312" w:eastAsia="仿宋_GB2312"/>
              </w:rPr>
              <w:t>1.提供合法有效的健康证明；提供全部人员计5分，缺一个扣0.5分，直至扣完；2.拟派厨师具有国家职业资格认定的专业证书，每人每证得1分，按其响应程度计0-5分。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人员方案及证明资料.docx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供应商提供针对本项目的整体服务方案，包含目标定位、服务措施及增值服务按其响应程度计0-10分。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菜品制定方案</w:t>
            </w:r>
          </w:p>
        </w:tc>
        <w:tc>
          <w:tcPr>
            <w:tcW w:type="dxa" w:w="2492"/>
          </w:tcPr>
          <w:p>
            <w:pPr>
              <w:pStyle w:val="null3"/>
            </w:pPr>
            <w:r>
              <w:rPr>
                <w:rFonts w:ascii="仿宋_GB2312" w:hAnsi="仿宋_GB2312" w:cs="仿宋_GB2312" w:eastAsia="仿宋_GB2312"/>
              </w:rPr>
              <w:t>供应商餐厅菜品制定方案，按其响应程度计0-5分。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采购管理方案</w:t>
            </w:r>
          </w:p>
        </w:tc>
        <w:tc>
          <w:tcPr>
            <w:tcW w:type="dxa" w:w="2492"/>
          </w:tcPr>
          <w:p>
            <w:pPr>
              <w:pStyle w:val="null3"/>
            </w:pPr>
            <w:r>
              <w:rPr>
                <w:rFonts w:ascii="仿宋_GB2312" w:hAnsi="仿宋_GB2312" w:cs="仿宋_GB2312" w:eastAsia="仿宋_GB2312"/>
              </w:rPr>
              <w:t>供应商提供的采购管理方案，包含食材供应商管理、食材配送措施、食材验收等，按其响应程度计0-10分。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卫生管理制度</w:t>
            </w:r>
          </w:p>
        </w:tc>
        <w:tc>
          <w:tcPr>
            <w:tcW w:type="dxa" w:w="2492"/>
          </w:tcPr>
          <w:p>
            <w:pPr>
              <w:pStyle w:val="null3"/>
            </w:pPr>
            <w:r>
              <w:rPr>
                <w:rFonts w:ascii="仿宋_GB2312" w:hAnsi="仿宋_GB2312" w:cs="仿宋_GB2312" w:eastAsia="仿宋_GB2312"/>
              </w:rPr>
              <w:t>供应商卫生管理制度，从厨具、餐具卫生、餐厅环境卫生、食品卫生及服务人员个人卫生方面提供方案,按其响应程度计0-10分。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内部管理运作机制</w:t>
            </w:r>
          </w:p>
        </w:tc>
        <w:tc>
          <w:tcPr>
            <w:tcW w:type="dxa" w:w="2492"/>
          </w:tcPr>
          <w:p>
            <w:pPr>
              <w:pStyle w:val="null3"/>
            </w:pPr>
            <w:r>
              <w:rPr>
                <w:rFonts w:ascii="仿宋_GB2312" w:hAnsi="仿宋_GB2312" w:cs="仿宋_GB2312" w:eastAsia="仿宋_GB2312"/>
              </w:rPr>
              <w:t>供应商内部管理运作机制科学合理，措施到位，包含日常管理制度、财务管理制度、人力资源管理制度、保密制度等完善合理，按其响应程度计0-10分。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人员方案及证明资料.docx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突发应急事件处置</w:t>
            </w:r>
          </w:p>
        </w:tc>
        <w:tc>
          <w:tcPr>
            <w:tcW w:type="dxa" w:w="2492"/>
          </w:tcPr>
          <w:p>
            <w:pPr>
              <w:pStyle w:val="null3"/>
            </w:pPr>
            <w:r>
              <w:rPr>
                <w:rFonts w:ascii="仿宋_GB2312" w:hAnsi="仿宋_GB2312" w:cs="仿宋_GB2312" w:eastAsia="仿宋_GB2312"/>
              </w:rPr>
              <w:t>供应商制定物业管理各类突发应急事件处置措施全面、合理，包含但不限于停电、停水、火灾、天然气等，按其响应程度计0-10分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人员保障措施</w:t>
            </w:r>
          </w:p>
        </w:tc>
        <w:tc>
          <w:tcPr>
            <w:tcW w:type="dxa" w:w="2492"/>
          </w:tcPr>
          <w:p>
            <w:pPr>
              <w:pStyle w:val="null3"/>
            </w:pPr>
            <w:r>
              <w:rPr>
                <w:rFonts w:ascii="仿宋_GB2312" w:hAnsi="仿宋_GB2312" w:cs="仿宋_GB2312" w:eastAsia="仿宋_GB2312"/>
              </w:rPr>
              <w:t>供应商人员保障措施，拟投入本项目的服务人员配备齐全、分工明确，有培训考核措施，针对性满足项目需求，按其响应程度计0-5分。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人员方案及证明资料.docx</w:t>
            </w:r>
          </w:p>
        </w:tc>
      </w:tr>
      <w:tr>
        <w:tc>
          <w:tcPr>
            <w:tcW w:type="dxa" w:w="831"/>
            <w:vMerge/>
          </w:tcPr>
          <w:p/>
        </w:tc>
        <w:tc>
          <w:tcPr>
            <w:tcW w:type="dxa" w:w="1661"/>
          </w:tcPr>
          <w:p>
            <w:pPr>
              <w:pStyle w:val="null3"/>
            </w:pPr>
            <w:r>
              <w:rPr>
                <w:rFonts w:ascii="仿宋_GB2312" w:hAnsi="仿宋_GB2312" w:cs="仿宋_GB2312" w:eastAsia="仿宋_GB2312"/>
              </w:rPr>
              <w:t>履约能力（业绩证明）</w:t>
            </w:r>
          </w:p>
        </w:tc>
        <w:tc>
          <w:tcPr>
            <w:tcW w:type="dxa" w:w="2492"/>
          </w:tcPr>
          <w:p>
            <w:pPr>
              <w:pStyle w:val="null3"/>
            </w:pPr>
            <w:r>
              <w:rPr>
                <w:rFonts w:ascii="仿宋_GB2312" w:hAnsi="仿宋_GB2312" w:cs="仿宋_GB2312" w:eastAsia="仿宋_GB2312"/>
              </w:rPr>
              <w:t>投标人具有2022年1月1日至今，类似项目的业绩证明文件，每提供一份业绩证明文件得2分，按其响应程度计0-10分。 注：投标文件中提供合同复印件并加盖投标人公章，未按要求提供不予计分。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100。注：评审小组认为报价明显低于其他通过符合性审查投标人的报价，有可能影响服务质量或者不能诚信履约的，应当要求其在评审现场合理的时间内提供书面说明，必要时提交相关证明材料；投标人不能证明其报价合理性的，评审小组应当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报价组成分项表.docx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详见附件：法定代表人证明书或授权委托书.docx</w:t>
      </w:r>
    </w:p>
    <w:p>
      <w:pPr>
        <w:pStyle w:val="null3"/>
        <w:ind w:firstLine="960"/>
      </w:pPr>
      <w:r>
        <w:rPr>
          <w:rFonts w:ascii="仿宋_GB2312" w:hAnsi="仿宋_GB2312" w:cs="仿宋_GB2312" w:eastAsia="仿宋_GB2312"/>
        </w:rPr>
        <w:t>详见附件：三年内无重大违法记录书面声明函.docx</w:t>
      </w:r>
    </w:p>
    <w:p>
      <w:pPr>
        <w:pStyle w:val="null3"/>
        <w:ind w:firstLine="960"/>
      </w:pPr>
      <w:r>
        <w:rPr>
          <w:rFonts w:ascii="仿宋_GB2312" w:hAnsi="仿宋_GB2312" w:cs="仿宋_GB2312" w:eastAsia="仿宋_GB2312"/>
        </w:rPr>
        <w:t>详见附件：信用记录声明.docx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详见附件：合同文本.docx</w:t>
      </w:r>
    </w:p>
    <w:p>
      <w:pPr>
        <w:pStyle w:val="null3"/>
        <w:ind w:firstLine="960"/>
      </w:pPr>
      <w:r>
        <w:rPr>
          <w:rFonts w:ascii="仿宋_GB2312" w:hAnsi="仿宋_GB2312" w:cs="仿宋_GB2312" w:eastAsia="仿宋_GB2312"/>
        </w:rPr>
        <w:t>详见附件：供应商承诺书（一）（二）.docx</w:t>
      </w:r>
    </w:p>
    <w:p>
      <w:pPr>
        <w:pStyle w:val="null3"/>
        <w:ind w:firstLine="960"/>
      </w:pPr>
      <w:r>
        <w:rPr>
          <w:rFonts w:ascii="仿宋_GB2312" w:hAnsi="仿宋_GB2312" w:cs="仿宋_GB2312" w:eastAsia="仿宋_GB2312"/>
        </w:rPr>
        <w:t>详见附件：人员方案及证明资料.docx</w:t>
      </w:r>
    </w:p>
    <w:p>
      <w:pPr>
        <w:pStyle w:val="null3"/>
        <w:ind w:firstLine="960"/>
      </w:pPr>
      <w:r>
        <w:rPr>
          <w:rFonts w:ascii="仿宋_GB2312" w:hAnsi="仿宋_GB2312" w:cs="仿宋_GB2312" w:eastAsia="仿宋_GB2312"/>
        </w:rPr>
        <w:t>详见附件：业绩证明.docx</w:t>
      </w:r>
    </w:p>
    <w:p>
      <w:pPr>
        <w:pStyle w:val="null3"/>
        <w:ind w:firstLine="960"/>
      </w:pPr>
      <w:r>
        <w:rPr>
          <w:rFonts w:ascii="仿宋_GB2312" w:hAnsi="仿宋_GB2312" w:cs="仿宋_GB2312" w:eastAsia="仿宋_GB2312"/>
        </w:rPr>
        <w:t>详见附件：报价组成分项表.docx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详见附件：合同草案.docx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