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版本号：ZCSP-渭南市-2025-0071020250901003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市民中心会议室传声系统采购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ZCSP-渭南市-2025-00710</w:t>
      </w:r>
      <w:r>
        <w:br/>
      </w:r>
      <w:r>
        <w:br/>
      </w:r>
      <w:r>
        <w:br/>
      </w:r>
    </w:p>
    <w:p>
      <w:pPr>
        <w:pStyle w:val="null3"/>
        <w:jc w:val="center"/>
        <w:outlineLvl w:val="2"/>
      </w:pPr>
      <w:r>
        <w:rPr>
          <w:rFonts w:ascii="仿宋_GB2312" w:hAnsi="仿宋_GB2312" w:cs="仿宋_GB2312" w:eastAsia="仿宋_GB2312"/>
          <w:sz w:val="28"/>
          <w:b/>
        </w:rPr>
        <w:t>渭南市机关事务服务中心</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渭南市机关事务服务中心</w:t>
      </w:r>
      <w:r>
        <w:rPr>
          <w:rFonts w:ascii="仿宋_GB2312" w:hAnsi="仿宋_GB2312" w:cs="仿宋_GB2312" w:eastAsia="仿宋_GB2312"/>
        </w:rPr>
        <w:t>委托，拟对</w:t>
      </w:r>
      <w:r>
        <w:rPr>
          <w:rFonts w:ascii="仿宋_GB2312" w:hAnsi="仿宋_GB2312" w:cs="仿宋_GB2312" w:eastAsia="仿宋_GB2312"/>
        </w:rPr>
        <w:t>市民中心会议室传声系统采购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市民中心会议室传声系统采购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拆除原有会议设备，对采购产品进行系统集成及安装调试，构建优化声场，实现会议发言声音的有效拾音、清晰传递与扩音，确保与会人员能清晰聆听发言。</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采购包1（市民中心会议室传声系统采购）：属于专门面向中小企业采购。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须提供合法注册的法人或其他组织的营业执照等证明文件（事业单位法人证书\民办非企业单位登记证书\非企业专业服务机构执业许可证等），自然人须提供的身份证明文件；供应商须在项目电子化交易系统中按要求上传，并进行电子签章。</w:t>
      </w:r>
    </w:p>
    <w:p>
      <w:pPr>
        <w:pStyle w:val="null3"/>
      </w:pPr>
      <w:r>
        <w:rPr>
          <w:rFonts w:ascii="仿宋_GB2312" w:hAnsi="仿宋_GB2312" w:cs="仿宋_GB2312" w:eastAsia="仿宋_GB2312"/>
        </w:rPr>
        <w:t>2、供应商应授权合法的人员参加投标全过程：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3、电子与智能化专业承包资质：供应商须提供处于有效期内的电子与智能化专业承包资质及安全生产许可证。</w:t>
      </w:r>
    </w:p>
    <w:p>
      <w:pPr>
        <w:pStyle w:val="null3"/>
      </w:pPr>
      <w:r>
        <w:rPr>
          <w:rFonts w:ascii="仿宋_GB2312" w:hAnsi="仿宋_GB2312" w:cs="仿宋_GB2312" w:eastAsia="仿宋_GB2312"/>
        </w:rPr>
        <w:t>4、完税证明：供应商须提供开标前一年内（2024.8-2025.8）任意一个月的依法缴纳税收的完税证明（增值税、企业所得税至少提供一种），依法免税的或不需要缴纳的供应商，应提供相关证明；供应商须在项目电子化交易系统中按要求上传，并进行电子签章。</w:t>
      </w:r>
    </w:p>
    <w:p>
      <w:pPr>
        <w:pStyle w:val="null3"/>
      </w:pPr>
      <w:r>
        <w:rPr>
          <w:rFonts w:ascii="仿宋_GB2312" w:hAnsi="仿宋_GB2312" w:cs="仿宋_GB2312" w:eastAsia="仿宋_GB2312"/>
        </w:rPr>
        <w:t>5、社会保障资金缴纳证明：供应商须提供开标前一年内（2024.8-2025.8）任意一个月的已缴纳的社会保障资金证明（种类至少包括养老保险）；依法不需要缴纳社会保障资金的供应商应提供相关证明文件；供应商须在项目电子化交易系统中按要求上传相应证明文件，并进行电子签章。</w:t>
      </w:r>
    </w:p>
    <w:p>
      <w:pPr>
        <w:pStyle w:val="null3"/>
      </w:pPr>
      <w:r>
        <w:rPr>
          <w:rFonts w:ascii="仿宋_GB2312" w:hAnsi="仿宋_GB2312" w:cs="仿宋_GB2312" w:eastAsia="仿宋_GB2312"/>
        </w:rPr>
        <w:t>6、财务审计报告或资信证明：供应商提供具有财务审计资质单位出具的2024年度完整财务报告或开标前六个月内（2025.3——2025.8）其基本账户银行出具的资信证明；供应商须在项目电子化交易系统中按要求上传，并进行电子签章。</w:t>
      </w:r>
    </w:p>
    <w:p>
      <w:pPr>
        <w:pStyle w:val="null3"/>
      </w:pPr>
      <w:r>
        <w:rPr>
          <w:rFonts w:ascii="仿宋_GB2312" w:hAnsi="仿宋_GB2312" w:cs="仿宋_GB2312" w:eastAsia="仿宋_GB2312"/>
        </w:rPr>
        <w:t>7、无重大违法记录书面声明：供应商须在项目电子化交易系统中按要求上传《供应商无重大违法记录书面声明函》，并进行电子签章。</w:t>
      </w:r>
    </w:p>
    <w:p>
      <w:pPr>
        <w:pStyle w:val="null3"/>
      </w:pPr>
      <w:r>
        <w:rPr>
          <w:rFonts w:ascii="仿宋_GB2312" w:hAnsi="仿宋_GB2312" w:cs="仿宋_GB2312" w:eastAsia="仿宋_GB2312"/>
        </w:rPr>
        <w:t>8、信用记录书面声明 ：供应商须在项目电子化交易系统中按要求上传《供应商信用记录书面声明函》，并进行电子签章。</w:t>
      </w:r>
    </w:p>
    <w:p>
      <w:pPr>
        <w:pStyle w:val="null3"/>
      </w:pPr>
      <w:r>
        <w:rPr>
          <w:rFonts w:ascii="仿宋_GB2312" w:hAnsi="仿宋_GB2312" w:cs="仿宋_GB2312" w:eastAsia="仿宋_GB2312"/>
        </w:rPr>
        <w:t>9、本项目不接受联合体投标，不允许分包。：供应商须提供《非联合体不分包投标声明》，并在项目电子化交易系统中按要求上传《非联合体不分包投标声明》，并进行电子签章。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渭南市机关事务服务中心张科长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0913-2109168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 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渭南市机关事务服务中心</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渭南市机关事务服务中心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渭南市机关事务服务中心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联系人：张科长</w:t>
      </w:r>
    </w:p>
    <w:p>
      <w:pPr>
        <w:pStyle w:val="null3"/>
      </w:pPr>
      <w:r>
        <w:rPr>
          <w:rFonts w:ascii="仿宋_GB2312" w:hAnsi="仿宋_GB2312" w:cs="仿宋_GB2312" w:eastAsia="仿宋_GB2312"/>
        </w:rPr>
        <w:t>联系电话：0913-2109168</w:t>
      </w:r>
    </w:p>
    <w:p>
      <w:pPr>
        <w:pStyle w:val="null3"/>
      </w:pPr>
      <w:r>
        <w:rPr>
          <w:rFonts w:ascii="仿宋_GB2312" w:hAnsi="仿宋_GB2312" w:cs="仿宋_GB2312" w:eastAsia="仿宋_GB2312"/>
        </w:rPr>
        <w:t>地址：车雷街69号渭南市机关事务服务中心</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联系人：吝老师</w:t>
      </w:r>
    </w:p>
    <w:p>
      <w:pPr>
        <w:pStyle w:val="null3"/>
      </w:pPr>
      <w:r>
        <w:rPr>
          <w:rFonts w:ascii="仿宋_GB2312" w:hAnsi="仿宋_GB2312" w:cs="仿宋_GB2312" w:eastAsia="仿宋_GB2312"/>
        </w:rPr>
        <w:t>联系电话：0913-2100082</w:t>
      </w:r>
    </w:p>
    <w:p>
      <w:pPr>
        <w:pStyle w:val="null3"/>
      </w:pPr>
      <w:r>
        <w:rPr>
          <w:rFonts w:ascii="仿宋_GB2312" w:hAnsi="仿宋_GB2312" w:cs="仿宋_GB2312" w:eastAsia="仿宋_GB2312"/>
        </w:rPr>
        <w:t>地址：渭南市朝阳大街中银大厦</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拆除原有会议设备，对采购产品进行系统集成及安装调试，构建优化声场，实现会议发言声音的有效拾音、清晰传递与扩音，确保与会人员能清晰聆听发言。</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传声设备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标的名称：传声设备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代表单元鹅颈话筒。30台。音头：≥10.5mm直径电容音头 指向性：超心型 ▲频响：≥20-20000Hz ▲灵敏度：-32dB，25.1mV/Pa（0dB=1V/Pa，1kHz） 输出阻抗：≤200Ω ▲最大声压级：120dB（1%T.H.D.@1kHz） 等效噪声级：≤24dB（A） 静音衰减：≥80dB 幻象供电：48V DC 传声器长度：≥384mm 连接方式：GX12-5PIN五芯航空插头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代表单元鹅颈底座。30个。连接器：6PIN DIN公插头（与外部设备的连接），GX12五芯航空插座（与鹅颈话筒的连接） 功能配置：多功能开关 尺寸：≤133×91×45（mm） 线长：≤1.2m 重量：≤1kg 电气指标 供电要求：24V DC 连接器定义：GX12五芯航空插座 1-音头供电，2-NC，3-接地端，4-NC，5-音头信号</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会议主机。2台。▲支持双机热备份模式功能，可把主机设为热备份模式级联进行系统备份； 每路传输距离可达250米； 具备“手拉手”连接和环路连接方式； 主机可支持分别调节每个会议单元的输出增益，并可设定设置音频调节锁定； 内置环境噪音消除器、数字均衡电路、自适应反馈抑器，可有效消除本地噪声，大幅提升会场声压级，有效防止啸叫； ▲采用6芯DIN带双屏蔽线缆或超六类带屏蔽网线连接，有效防止线路电磁干扰； 彩色触摸屏且具有中文操作界面； ▲可设置会议模式、系统音量调节、话筒管理、单元编号、摄像机参数、视像跟踪设置和灯环设置等功能； ▲会议模式至少包含：自由模式、轮替模式、限制模式、声控模式、PTT模式、VIP模式； 通过上位机软件可设置为申请模式； 具备消防警报连接端口； 具有USB录音功能，可对会议进行录音； ▲内置标清视频矩阵，可实现摄像跟踪切换模块，无须配置电脑，可脱机进行视频跟踪； 具有DATA网络控制接口，控制网线可延长至1000米连接管理会议； 具备线路带电“热插拔”功能； 系统可接入其它电容麦克风或动圈麦克风，为用户提供更多选择； ▲4路专用线输出，每路至少可接驳30个会议发言单元，单台主机至少可接驳120个会议单元； ▲4路网线输出，每路至少可接驳15个会议发言单元，单台主机至少可接驳60个会议单元； ▲级联多台扩展主机至少可挂载250席表决/视像单元或4096席讨论发言单元同时进行会议； 频率响应:20Hz～20kHz； 总谐波失真：小于0.1%</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代表单元话筒。25台。▲“T型总线手拉手”连接技术，系统具有自动修复功能，支持线路的“热插拔”，支持环形接法 具麦克风发言按键及发言指示灯，可控制及显示麦克风开启/关闭 系统中主席单元不受限制，并可置回路中位置 具有强制切断代表单元麦克风发言的优先功能和主席优先的提示音 具有主席专有模式：主席按PRIO键关闭发言状态的代表单体后，所有代表单元不能在开启，直至该主席单元结束发言关闭麦克风 锌合金一体成型外壳 技术参数： 拾音头：≥20mm电容式 指向性：超心型 ▲灵敏度：≤-31dB（±1dB），28.2mV/Pa(0dB=1V/Pa@1kHz) ▲频率响应：不劣于20-20,000Hz 最大声压级(1%T.H.D.@1kHz)：≥135dB 动态范围：≥120dB 等效噪声级：≤15dBA 信噪比：≥79dBA ▲生产厂家提供的针对本项目的原厂质保函； ▲生产厂家为省级或以上高新技术企业； ▲生产厂家需提供专利证书； 需提供第三方检测报告；</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主席话筒。1台。技术指标 音头：≥20mm镀金电容音头 指向性：超心型 响应：≥20-20,000Hz 灵敏度：-30dB，31.6mV/Pa(0dB=1V/Pa@1kHz) 输出阻抗：≤200Ω 最大声压级：130dB(1%T.H.D.@1kHz) 等效噪声级：≤18dB A计权 信噪比：≥76dB A计权 幻象供电：48V DC 重量：≥2210g 传声器长度：≥220mm 输出方式：高级三针卡侬插头，配3m话筒输出线</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连接线。8根。PVC护套端部带连接器。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无线会议话筒（一拖四）。1套。1.采用UHF四通道多频道设计，运用高精度锁相环频率合成PLL技术，传输更稳定； 2.主机TFT彩色显示屏，4个通道频道号，频率，电量，音量，音频电平一目了然； 3.主机内置啸叫抑制功能，可根据需要开启或关闭； 4.▲主机内置4种EQ模式：分直通，低切，高切，用户，用户模式可以通过主机面板按键自由灵活调节13段EQ增益，适配更多场合使用； 5.▲主机采用真分集接收技术，CPU自动选择最优接收单元保证接收到稳定信号预防断频； 6.话筒面板采用简洁稳重的台面式强抗静电功能设计，优质锌铝合金面板经18道工序打磨而成； 7.▲话筒面板带有TFT彩色显示屏，可显示发言计时、发射频率、连接信号、通道、电池电量等信息； 8.采用动态随机ID，杜绝串频，接收机只接收最后一次对频的发射机； 9.主机预置多组规避干扰的频率，有效提高多套同时使用的安装效率； 10.话筒带发言灯，可显示发言、关闭状态； 11.发言开关按键带透光发言指示，发言时常亮，关闭发言时熄灭； 12.话筒使用3000mAH锂离子电池，可以连续工作16小时；13.话筒单元可进行高低发射功率调节，根据实际使用情况选择，可延长电池续航时长； 14.话筒单元可以进行自动关机时长设置（1-8小时），设置后可在未发言状态下根据设置自动关机，延长电池续航及使用寿命； 15.使用无线对频方式，无需话筒单元对准主机红外发射口也能进行对频； 16.使用无声轻触开关，有效避免开关噪声； 17.14MM镀金电容音头 18.频率响应20Hz~20KHz； 19.频率范围:640-690MHz； 20.调制方式：宽带FM； 21.频道数：200频道； 22.信噪比 ＞80dB； 23.总谐波失真 ＜0.05%； 24.灵敏度 -46 dBV/Pa； 25.待机：&lt;50mA@3.7V； 26.发射功率：10dBm； 27.话筒方杆长度：220mm； 28.信号覆盖范围：80m；</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调音台。1台。主要特点 26通道输入包括：16路麦克风输入、3路立体声输入、2路数字立体声输入（USB声卡、USB播放）。 内部14路总线设计、具有8路独立的可编程DCA通道。 8路BUS输出通道、1路立体声主输出、1路立体声监听输出、3路立体声数字输出（AES/EBU、USB声卡、USB录音）。 所有输入通道具有独立的低切、PEQ、压缩器、噪声门、相位处理。 所有麦克风输入通道具有高质量、可编程数字式增益控制及独立的幻象电源控制。 所有BUS输出通道具有独立的分频器、PEQ、压缩器、延时器处理，并支持2个独立可插入式31段GEQ处理功能。 立体声主输出通道具有独立的分频器、PEQ、压缩器、延时器处理，具有独立的31段GEQ处理。 所有输入通道或输出BUS通道都可以自由LINK为立体声状态。 所有通道标号可以自定义名称及颜色。 所有输入输出通道可支持任意的自定义复制。 所有输入、输出通道的均衡器、压缩器、噪声门功能具有独立的预设存储调用功能，并支持通过U盘的导入和导出功能。 所有输入输出通道可具有独立的通道预设功能，支持通道预设的存储及调用功能，所有通道预设支持通过U盘的导入和导出功能。 内置两路独立的专业立体声效果器，具有独立发送总线、多种效果类型可选。 内置U盘播放器，支持实时的立体声录音及播放功能。 内置USB声卡，支持与PC连接的实时录音及播放功能。 具有3个可编程的静音编组按键及1个总效果静音、1个总输出静音按键。 支持用户的场景存储及调用功能，所有场景支持通过U盘的导入和导出功能。 具有独立的管理员密码及可自定义的用户密码保护功能，可对系统实现分权限管理，管理员密码保护对本地操作及移动端访问同时有效。 ≥10寸高清的1280*800的电容触摸屏，支持多点触摸操作。 高精度的100MM电动推子，翻页管理按键,。 内置基于HTML5技术的web服务器，自带Wi-Fi热点，跨平台支持苹果、安卓、Windows等各种移动端的访问，支持多屏互动、全功能操作。 支持中控管理协议及实现系统集成应用。</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反馈抑制器。1台。1.56-bit高速DSP，24bit AD和DA转换。分辨精度1HZ，工作频率20HZ-20KHZ FTF彩屏，中英文菜单可选 3.每通道12个动态陷波器加8个静态陷波器，自动抑制啸叫 4.自动陷波配合移频使用，超强抑制声反馈 5.噪声门功能可以抑制系统微弱噪声干扰 6.输入压缩功能在消除反馈同时更可扩展人声动态 7.两通道48V幻象电源，可以独立控制通断 8.电源使用超低噪音环形变压器 技术参数： 1.模拟输入：2CH-XLR和1/4"TRS(母)输入，电子平衡/不平衡。2路独立控制的48V幻象电源。 2.输入阻抗：平衡 47Ω，不平衡 20KΩ 3.最大线路电平输入：+18dBu 4.模拟输出：2CH- XLR和1/ 4" TRS(母)输入，电子平衡/不平衡 5.输出阻抗：平衡 &gt;120Ω，不平衡 &gt;60Ω 6.频率稳定度：+20dBu 7.频率响应：20Hz-20KHz,±0. 3dB 8.信噪比：&gt;105dB( A) 9.动态范围：103dB 10.总谐波失真+噪声：0.005%,1KHz;20Hz-10KHz,&lt; 0.01%;10KHz-20KHz,&lt;0.025% 11.工作电压：115V/ 230V/ AC 50Hz/ 60Hz 12.接口: 输入3芯XLR母插座/6.3插咀 输出3芯XLR公插座/6.3插咀 USB接口 电源插口3芯IEC插座，电源 115 /230 V 50/60Hz. 耗电量 &lt; 30瓦.</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顺序电源。2台。1.面板 2.电力输入条件(单相3线)：AC200-240V 50-60HZ单相（三线：零，火，地） 3.通道数量：8路万用插座继电器受控,一路直通 4.继电器受控输出最大承受单路功率/总功率(无功功率）：2000W/6000W最大承受无功功率 5.输出电源插座规格：阻燃ABS材料，最大可承受13A电流磷铜材质，标准万用插座 6.功能特点：顺序开启逆序关闭；PASS键可全通道同时打开；COM口接入中控控制（指令控制）或自带软件控制；自由通道关闭；级联叠机；中控外控；过流保护；面板通道独立关闭 7.每路开关间隔时间/定时时间：默认1秒（通过软件自由设置） 8.输出继电器触点电流：30A 277VAC 9.电路板规格：双面纤维板，主电源走线二次加厚加粗处理 10.供电规格：内置开关电源，适用全球电压AC200-240V 50-60HZ 11.主电缆线规格：3*4平方电缆线，总长度为1.2米（无配电源输入插头） 12.开启类型：按键式字锁开关 13.单路独立开关功能：支持面板独立控制（可软件设定控制） 14.功能显示电压显示表类型：大屏显示液晶电压表 15.叠机级联功能：有 16.外接控制开关接口：RS232 COM接口 17.电源净化功能（EMI专业电网滤波器）：无（可选配单独或每路带滤波器） 18.短路过流保护断路器配置：断路器火线控制过流保护（（40A短路保护))</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音频处理器。1台。1.4路平衡输入，8路平衡输出。 2.32位DSPSHARC芯片处理，96kHz采样率，24bit AD/DA转换。 3.输入处理部分包含高切，低切，参量均衡，噪声门，增益，静音，相位，延时，连动调节等处理功能。 4.输出处理部分包含分频，参量均衡，增益，静音，压缩/限幅器，相位，延时，连动调节等处理单元。 5.所有通道的PEQ增益、带宽、频率连续可调，类型可选择: 参量均衡、低架滤波、高架滤波、低切滤波、高架滤波、移相1 阶、移相2阶。 6.所有输入输出之间可以自由进行矩阵式分配，且每个输入输出通道名称可以更改。 7.所有输入输出通道带独立的相位曲线调整功能，在PEQ类型选择移相1阶是180度曲线调整，移相2阶是360度曲线调整。 所有高切、低切滤波器，分频器的类型可选择：巴特沃斯、林奎瑞利、贝塞尔，斜率在- 6dB/Oct至-48dB/Oct可选。 8.输出通道的压缩/限幅器的阀值，比率，启动时间，恢复时间连续可调。 9.所有输入输出通道的延时模块都具有高达680ms的延时时间。 10.任意通道之间参数设置可以自由复制，以及任意通道可以进行连动调节。 11.可在任意一个输入或输出通道时看到当前所有的输入或输出通道的PEQ曲线调整图。 12.内置测试信号发生器，输出方式可选粉红噪声，白噪声及20Hz-20kHz正弦波可调，信号幅度可调。 13.前面板带有输入输出电平指示灯、 USB控制端口，后面板232&amp;485控制端口，一键式连机使得用户的操作更简易、快捷。 14.30个用户预设，整机状态和每个预设都可以单独存储和调用。ID设置功能可以级联控制255台机器，还具有密码保护功能，使备更安全。</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主音箱。4只。技术指标： 1.系统类型：8单元全频密闭式 2.额定功率：320W 3.最大功率：640W 4.峰值功率：1280W 5.标称阻抗：4Ω 6.推荐放大器额定输出功率：400W—800W@4Ω 7.标称灵敏度（1W@1m）：97dB 8.最大声压级（Pmax@1m）：122dB@320W(125dB@640W) 9.频率带宽（-10dB）：90Hz—18.5KHz 10.标称指向性（-6dB）：90°H×30°V 11.换能器配置：全频驱动器3″(75mm全频单元20mm音圈)×8 12.连接器：标准欧式四芯插座 13.箱体材质：MDF板 14.颜色：默认为环保水性喷涂，可按要求订制其他颜色 15.箱体尺寸：≤W118*D125*H755mm</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主功放。2台。技术指标： 1.8Ω立体声输出：2x500W；4Ω立体声输出：2x825W；2Ω立体声输出：2x1220W；8Ω桥接单声道输出：1650W；4Ω桥接单声道输出：1780W； 2.输入电路：Class H 3.频率响应：5--30K±1dB 4.输入灵敏度：0.8V/1.6V 5.输入阻抗：平衡20KΩ，不平衡10KΩ 6.串音：≥65dB 8Ω 1KH 7.信噪比：≥98dB 8.阻尼系数：≥400 9.总谐波失真：&lt;0.05% 10.瞬态响应：25V/u S 11.尺寸(宽×高×深)：≤575×570×158mm 12.净重量：≤19kg</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附件。1批。音响线、话筒线为纯铜专业线，机柜是标准定制</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color w:val="0070C0"/>
              </w:rPr>
              <w:t>安装调试。1项。拆除原有会议设备，对采购产品进行系统集成及安装调试，构建优化声场，实现会议发言声音的有效拾音、清晰传递与扩音，确保与会人员能清晰聆听发言。</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合同签订生效后30天内交货并安装调试完成。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8.1按照本合同约定质量标准进行验收。卖方保证为原厂、全新未使用过的产品，均符合原厂约定质量技术指标与国家本行业质量标准。买方应在收到全部货物后五天内验收。若产品存在质量问题，卖方必须予以退换，所需费用由卖方负责。 双方约定验收方式为以下方式： （1）双方共同验收； （2）买方自行验收； （3）其他； 8.2双方约定验收方法为以下方法: （1）开箱验收; （2）抽样验收； 8.3若在验收中发现货物有任何漏发货、短少、缺损、缺陷或与合同规定不符，卖方应于收到通知后3个工作日内自付费用进行更换、补充发货至买方指定地点。 8.4货物经验收合格后三个月内，若发现卖方货物存在质量瑕疵，买方可以向卖方提出质量异议。 8.5如卖方对买方提出的更换、补充发货或质量等索赔要求有异议，卖方应在收到买方通知后五个工作日内采用书面的方式提出异议。如卖方未在该期限内提出书面异议，则视为卖方接受买方的索赔</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竣工验收合格之日起2年，质保期内乙方对所供货物实行包修、包换、包退及合同约定的其他事项:质保期内如设备或零部件因质量原因出现故障或短期停用时，则质保期和免费维修期相应顺延，如停用时间累计超过30天则质保期重新计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12.1.违约责任 未按合同约定时间提交项目成果的，每延期一天应按合同总额的千分之一支付违约金，延期提交超过 30 日的，甲方有权单方解除合同。 相关项目成果三次未通过验收的，甲方有权单方解除合同，乙方需退还甲方前期支付的所有款项并承担项目未履行部分合同价款的百分之二十违约金。 项目总实施时间超过合同约定的，每延期一天应按合同总额的千分之一支付违约金，因乙方单方面导致延期超过 60 天的，甲方有权单方解除合同，乙方承担相关违约责任。 12.2.争议解决 双方因履行合同而产生的争议或纠纷，应及时协商解决。协商不成的，双方均可向甲方所在地有管辖权的人民法院起诉。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供应商需在项目电子化交易系统中按要求填写《投标函》，并完成电子签章。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注册的法人或其他组织的营业执照等证明文件（事业单位法人证书\民办非企业单位登记证书\非企业专业服务机构执业许可证等），自然人须提供的身份证明文件；供应商须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须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电子与智能化专业承包资质</w:t>
            </w:r>
          </w:p>
        </w:tc>
        <w:tc>
          <w:tcPr>
            <w:tcW w:type="dxa" w:w="3322"/>
          </w:tcPr>
          <w:p>
            <w:pPr>
              <w:pStyle w:val="null3"/>
            </w:pPr>
            <w:r>
              <w:rPr>
                <w:rFonts w:ascii="仿宋_GB2312" w:hAnsi="仿宋_GB2312" w:cs="仿宋_GB2312" w:eastAsia="仿宋_GB2312"/>
              </w:rPr>
              <w:t>供应商须提供处于有效期内的电子与智能化专业承包资质及安全生产许可证。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须提供开标前一年内（2024.8-2025.8）任意一个月的依法缴纳税收的完税证明（增值税、企业所得税至少提供一种），依法免税的或不需要缴纳的供应商，应提供相关证明；供应商须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开标前一年内（2024.8-2025.8）任意一个月的已缴纳的社会保障资金证明（种类至少包括养老保险）；依法不需要缴纳社会保障资金的供应商应提供相关证明文件；供应商须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供应商提供具有财务审计资质单位出具的2024年度完整财务报告或开标前六个月内（2025.3——2025.8）其基本账户银行出具的资信证明；供应商须在项目电子化交易系统中按要求上传，并进行电子签章。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供应商须在项目电子化交易系统中按要求上传《供应商无重大违法记录书面声明函》，并进行电子签章。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信用记录书面声明</w:t>
            </w:r>
          </w:p>
        </w:tc>
        <w:tc>
          <w:tcPr>
            <w:tcW w:type="dxa" w:w="3322"/>
          </w:tcPr>
          <w:p>
            <w:pPr>
              <w:pStyle w:val="null3"/>
            </w:pPr>
            <w:r>
              <w:rPr>
                <w:rFonts w:ascii="仿宋_GB2312" w:hAnsi="仿宋_GB2312" w:cs="仿宋_GB2312" w:eastAsia="仿宋_GB2312"/>
              </w:rPr>
              <w:t>供应商须在项目电子化交易系统中按要求上传《供应商信用记录书面声明函》，并进行电子签章。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供应商须提供《非联合体不分包投标声明》，并在项目电子化交易系统中按要求上传《非联合体不分包投标声明》，并进行电子签章。</w:t>
            </w:r>
          </w:p>
        </w:tc>
        <w:tc>
          <w:tcPr>
            <w:tcW w:type="dxa" w:w="1661"/>
          </w:tcPr>
          <w:p>
            <w:pPr>
              <w:pStyle w:val="null3"/>
            </w:pPr>
            <w:r>
              <w:rPr>
                <w:rFonts w:ascii="仿宋_GB2312" w:hAnsi="仿宋_GB2312" w:cs="仿宋_GB2312" w:eastAsia="仿宋_GB2312"/>
              </w:rPr>
              <w:t>非联合体不分包投标声明.docx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服务全部由符合政策要求的中小企业提供。供应商为中小企业的，提供《中小企业声明函》；为监狱企业的，应提供监狱企业的证明文件；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投标文件项目名称、项目编号</w:t>
            </w:r>
          </w:p>
        </w:tc>
        <w:tc>
          <w:tcPr>
            <w:tcW w:type="dxa" w:w="3322"/>
          </w:tcPr>
          <w:p>
            <w:pPr>
              <w:pStyle w:val="null3"/>
            </w:pPr>
            <w:r>
              <w:rPr>
                <w:rFonts w:ascii="仿宋_GB2312" w:hAnsi="仿宋_GB2312" w:cs="仿宋_GB2312" w:eastAsia="仿宋_GB2312"/>
              </w:rPr>
              <w:t>投标文件以下三处的项目名称、项目编号无遗漏，且与本项目一致： （1）封面； （2）投标函； （3）法定代表人委托授权书。 说明：以招标公告中的项目名称、项目编号为准。</w:t>
            </w:r>
          </w:p>
        </w:tc>
        <w:tc>
          <w:tcPr>
            <w:tcW w:type="dxa" w:w="1661"/>
          </w:tcPr>
          <w:p>
            <w:pPr>
              <w:pStyle w:val="null3"/>
            </w:pPr>
            <w:r>
              <w:rPr>
                <w:rFonts w:ascii="仿宋_GB2312" w:hAnsi="仿宋_GB2312" w:cs="仿宋_GB2312" w:eastAsia="仿宋_GB2312"/>
              </w:rPr>
              <w:t>投标函 法定代表人身份证明、法定代表人授权委托书.docx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签字、盖章符合招标文件要求，且无遗漏。</w:t>
            </w:r>
          </w:p>
        </w:tc>
        <w:tc>
          <w:tcPr>
            <w:tcW w:type="dxa" w:w="1661"/>
          </w:tcPr>
          <w:p>
            <w:pPr>
              <w:pStyle w:val="null3"/>
            </w:pPr>
            <w:r>
              <w:rPr>
                <w:rFonts w:ascii="仿宋_GB2312" w:hAnsi="仿宋_GB2312" w:cs="仿宋_GB2312" w:eastAsia="仿宋_GB2312"/>
              </w:rPr>
              <w:t>开标一览表 法定代表人身份证明、法定代表人授权委托书.docx 中小企业声明函 商务应答表 非联合体不分包投标声明.docx 供应商无重大违法记录书面声明函.docx 投标人应提交的相关资格证明材料 供应商信用记录书面声明函.docx 业绩表.docx 产品技术参数表 自行编制，格式不限.docx 投标函 残疾人福利性单位声明函 人员情况表.docx 标的清单 投标文件封面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同时满足以下条款：（1）报价符合唯一性要求； （2）报价表填写符合要求； （3）报价货币符合招标文件要求；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合同文本</w:t>
            </w:r>
          </w:p>
        </w:tc>
        <w:tc>
          <w:tcPr>
            <w:tcW w:type="dxa" w:w="3322"/>
          </w:tcPr>
          <w:p>
            <w:pPr>
              <w:pStyle w:val="null3"/>
            </w:pPr>
            <w:r>
              <w:rPr>
                <w:rFonts w:ascii="仿宋_GB2312" w:hAnsi="仿宋_GB2312" w:cs="仿宋_GB2312" w:eastAsia="仿宋_GB2312"/>
              </w:rPr>
              <w:t>完全理解并接受招标文件合同文本的要求。</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投标人应配备充足专业技术人员保障本项目全方位服务，计4分；1、本项目负责人须提供计算机或软件专业相关的高级职称证书，且具有PMP认证的，得2分； 2、技术人员须提供建造师注册证书（专业机电工程），每提供一个得0.5分，最多得2分。 注：需提供人员名单、职务、联系方式、身份证复印件、相关证书、缴纳的近三个月内（2025.6-2025.8）任意一个月的社保证明。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提供2022年1月1日至今投标人类似项目业绩，每提供一份合格业绩得2分，最高得6分，（ 备注：提供有甲乙双方公章的完整合同复印件并加盖投标供应商公章，时间以签订时间为准）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vMerge/>
          </w:tcPr>
          <w:p/>
        </w:tc>
        <w:tc>
          <w:tcPr>
            <w:tcW w:type="dxa" w:w="1661"/>
          </w:tcPr>
          <w:p>
            <w:pPr>
              <w:pStyle w:val="null3"/>
            </w:pPr>
            <w:r>
              <w:rPr>
                <w:rFonts w:ascii="仿宋_GB2312" w:hAnsi="仿宋_GB2312" w:cs="仿宋_GB2312" w:eastAsia="仿宋_GB2312"/>
              </w:rPr>
              <w:t>技术要求响应</w:t>
            </w:r>
          </w:p>
        </w:tc>
        <w:tc>
          <w:tcPr>
            <w:tcW w:type="dxa" w:w="2492"/>
          </w:tcPr>
          <w:p>
            <w:pPr>
              <w:pStyle w:val="null3"/>
            </w:pPr>
            <w:r>
              <w:rPr>
                <w:rFonts w:ascii="仿宋_GB2312" w:hAnsi="仿宋_GB2312" w:cs="仿宋_GB2312" w:eastAsia="仿宋_GB2312"/>
              </w:rPr>
              <w:t>投标人对所投产品技术参数与性能指标逐条进行明确响应，并提供相关证明材料。技术参数与性能指标全部满足或优于招标文件要求，得25分。 “▲”项每出现一项负偏扣1分，非“▲”项每出现一项负偏扣0.5分，扣完为止。 证明材料要求： 1、包括但不限于产品检测报告、彩页、使用手册、官网功能截图等。 2、投标文件中技术参数和性能指标响应情况内容应与证明材料内容一致，不一致时，响应情况为负偏离，3、供应商须对所提供的证明材料真实性负责，如有虚假，将依法承担相应责任。 注：中标后经核查中标方响应参数与交付设备实际性能不符，采购人有权终止合同并追责。</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针对本项目，有完善项目实施方案（包括①生产或进货质量保证方案②运输质量保证方案③安装、调试质量保证方案④验收质量保证方案⑤其他可行性方案 ）。 1.评审标准：①完整性：措施须全面，内容完整；②可行性：切合本项目实际情况，步骤明确、可操作性强；③针对性：能够紧扣项目实际情况，专业性强、内容科学、合理。 2.赋分标准(满分15分)： 投标人实施方案5项内容，每项3分，每项内容完全满足评审标准的得2-3分；若存在不明确、不合理、不完整、针对性不强等方面问题的，得0-1分。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根据供应商售后服务内容（0-1分），售后服务承诺（0-1分），人员配备（0-1分）以及质保期内、质保期结束后的维修维护承诺（0-1分）等评审。</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评审小组对投标人所提供的培训内容及方案进行评审，培训内容详细全面，方案合理周到，计0-4分： 1、一般用户的基础操作及系统管理员的系统管理培训和开发培训，根据响应情况，计0-2分； 2、系统所有功能模块的应用、管理及常见故障处理等培训，计0-2分；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根据供应商提供的进度保证措施进行评审，就其完整性、可行性、针对性进行评审。 1.评审标准：①完整性：措施须全面，内容完整；②可行性：切合本项目实际情况，步骤明确、可操作性强；③针对性：能够紧扣项目实际情况，专业性强、内容科学、合理。 2.赋分标准(满分4分): 内容完全满足评审标准的得3-4分;若存在不明确、不合理、不完整、针对性不强等方面问题的，得1-2分，评审内容未提供或完全背离评审标准的得0分。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产品供应渠道正常，各关键部件无假货、水货，检验手续合法有效、无产权纠纷。提供相关证明材料，按其响应程度计0-4分。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自行编制，格式不限.docx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根据供应商提供的应急事故响应及处理方案，就其完整性、可行性、针对性进行评审。 1.评审标准：①完整性：措施须全面，内容完整；②可行性：切合本项目实际情况，步骤明确、可操作性强；③针对性：能够紧扣项目实际情况，专业性强、内容科学、合理。 2.赋分标准(满分4分): 内容完全满足评审标准的得3-4分;若存在不明确、不合理、不完整、针对性不强等方面问题的，得0-2分。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自行编制，格式不限.docx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满足招标文件要求且价格最低的报价为评标基准价，其价格分为满分。其他供应商的价格分统一按照下列公式计算：报价得分=（评标基准价/报价）×30。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详见附件：人员情况表.docx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详见附件：自行编制，格式不限.docx</w:t>
      </w:r>
    </w:p>
    <w:p>
      <w:pPr>
        <w:pStyle w:val="null3"/>
        <w:ind w:firstLine="960"/>
      </w:pPr>
      <w:r>
        <w:rPr>
          <w:rFonts w:ascii="仿宋_GB2312" w:hAnsi="仿宋_GB2312" w:cs="仿宋_GB2312" w:eastAsia="仿宋_GB2312"/>
        </w:rPr>
        <w:t>详见附件：非联合体不分包投标声明.docx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