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版本号：SXZZ-采-【F2025-081801】20250908002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检察办公(0A)系统升级改造服务项目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SXZZ-采-【F2025-081801】</w:t>
      </w:r>
      <w:r>
        <w:br/>
      </w:r>
      <w:r>
        <w:br/>
      </w:r>
      <w:r>
        <w:br/>
      </w:r>
    </w:p>
    <w:p>
      <w:pPr>
        <w:pStyle w:val="null3"/>
        <w:jc w:val="center"/>
        <w:outlineLvl w:val="2"/>
      </w:pPr>
      <w:r>
        <w:rPr>
          <w:rFonts w:ascii="仿宋_GB2312" w:hAnsi="仿宋_GB2312" w:cs="仿宋_GB2312" w:eastAsia="仿宋_GB2312"/>
          <w:sz w:val="28"/>
          <w:b/>
        </w:rPr>
        <w:t>渭南市人民检察院</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渭南市人民检察院</w:t>
      </w:r>
      <w:r>
        <w:rPr>
          <w:rFonts w:ascii="仿宋_GB2312" w:hAnsi="仿宋_GB2312" w:cs="仿宋_GB2312" w:eastAsia="仿宋_GB2312"/>
        </w:rPr>
        <w:t>委托，拟对</w:t>
      </w:r>
      <w:r>
        <w:rPr>
          <w:rFonts w:ascii="仿宋_GB2312" w:hAnsi="仿宋_GB2312" w:cs="仿宋_GB2312" w:eastAsia="仿宋_GB2312"/>
        </w:rPr>
        <w:t>检察办公(0A)系统升级改造服务项目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SXZZ-采-【F2025-081801】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检察办公(0A)系统升级改造服务项目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对检察院办案（OA）系统数据库、GPU、操作系统、服务器等升级改造及维保服务进行采购。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1、营业执照或等同：国内合法注册，具有独立承担民事责任能力的法人或其他组织；</w:t>
      </w:r>
    </w:p>
    <w:p>
      <w:pPr>
        <w:pStyle w:val="null3"/>
      </w:pPr>
      <w:r>
        <w:rPr>
          <w:rFonts w:ascii="仿宋_GB2312" w:hAnsi="仿宋_GB2312" w:cs="仿宋_GB2312" w:eastAsia="仿宋_GB2312"/>
        </w:rPr>
        <w:t>2、法定代表人（或负责人）资格证明：提供法定代表人（或负责人）资格证明；</w:t>
      </w:r>
    </w:p>
    <w:p>
      <w:pPr>
        <w:pStyle w:val="null3"/>
      </w:pPr>
      <w:r>
        <w:rPr>
          <w:rFonts w:ascii="仿宋_GB2312" w:hAnsi="仿宋_GB2312" w:cs="仿宋_GB2312" w:eastAsia="仿宋_GB2312"/>
        </w:rPr>
        <w:t>3、财务报表或资信证明：提供供应商2024年年度财务报表（包括资产负债表、利润表、现金流量表）或供应商开户银行针对本项目开具的资信良好证明；</w:t>
      </w:r>
    </w:p>
    <w:p>
      <w:pPr>
        <w:pStyle w:val="null3"/>
      </w:pPr>
      <w:r>
        <w:rPr>
          <w:rFonts w:ascii="仿宋_GB2312" w:hAnsi="仿宋_GB2312" w:cs="仿宋_GB2312" w:eastAsia="仿宋_GB2312"/>
        </w:rPr>
        <w:t>4、完税及社保缴纳证明：提供供应商2024年9月至今任意三个月完税证明及社保缴纳凭证（须含养老），依法免税或至投标截止时间成立不足一月的提供相关证明材料。时间以税款所属日期为准；凭证应有税务机关或代收机关的公章或业务专用章；</w:t>
      </w:r>
    </w:p>
    <w:p>
      <w:pPr>
        <w:pStyle w:val="null3"/>
      </w:pPr>
      <w:r>
        <w:rPr>
          <w:rFonts w:ascii="仿宋_GB2312" w:hAnsi="仿宋_GB2312" w:cs="仿宋_GB2312" w:eastAsia="仿宋_GB2312"/>
        </w:rPr>
        <w:t>5、供应商信用查询：供应商不得在“信用中国”（www.creditchina.gov.cn）和“中国政府采购网”（www.ccgp.gov.cn）有失信记录；</w:t>
      </w:r>
    </w:p>
    <w:p>
      <w:pPr>
        <w:pStyle w:val="null3"/>
      </w:pPr>
      <w:r>
        <w:rPr>
          <w:rFonts w:ascii="仿宋_GB2312" w:hAnsi="仿宋_GB2312" w:cs="仿宋_GB2312" w:eastAsia="仿宋_GB2312"/>
        </w:rPr>
        <w:t>6、无重大违法违规记录等的声明：供应商参加本政府采购活动前三年内（2022年9月至提交投标文件截止时间止）在经营活动中无重大违法违规记录、无重大行政处罚、无重大安全事故的书面声明；</w:t>
      </w:r>
    </w:p>
    <w:p>
      <w:pPr>
        <w:pStyle w:val="null3"/>
      </w:pPr>
      <w:r>
        <w:rPr>
          <w:rFonts w:ascii="仿宋_GB2312" w:hAnsi="仿宋_GB2312" w:cs="仿宋_GB2312" w:eastAsia="仿宋_GB2312"/>
        </w:rPr>
        <w:t>7、投标保证金：缴纳投标保证金；</w:t>
      </w:r>
    </w:p>
    <w:p>
      <w:pPr>
        <w:pStyle w:val="null3"/>
      </w:pPr>
      <w:r>
        <w:rPr>
          <w:rFonts w:ascii="仿宋_GB2312" w:hAnsi="仿宋_GB2312" w:cs="仿宋_GB2312" w:eastAsia="仿宋_GB2312"/>
        </w:rPr>
        <w:t>8、禁止投标情形：禁止投标情形：①法定代表人或负责人为同一人或存在直接控股、管理关系的不同单位，不得同时参加本项目投标；②与采购人存在利害关系的单位不得参加本项目投标；③法律法规规定的其他禁止投标情形；</w:t>
      </w:r>
    </w:p>
    <w:p>
      <w:pPr>
        <w:pStyle w:val="null3"/>
      </w:pPr>
      <w:r>
        <w:rPr>
          <w:rFonts w:ascii="仿宋_GB2312" w:hAnsi="仿宋_GB2312" w:cs="仿宋_GB2312" w:eastAsia="仿宋_GB2312"/>
        </w:rPr>
        <w:t>9、非联合体投标：非联合体投标。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渭南市高新区新区东路9号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17709138487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陕西省西安市莲湖区沣惠路南段艺腾国际商务大厦十楼1015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招标二部-王凯、左金娟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029-81510917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开户名称：中国工商银行股份有限公司西安市解放路支行</w:t>
            </w:r>
          </w:p>
          <w:p>
            <w:pPr>
              <w:pStyle w:val="null3"/>
            </w:pPr>
            <w:r>
              <w:rPr>
                <w:rFonts w:ascii="仿宋_GB2312" w:hAnsi="仿宋_GB2312" w:cs="仿宋_GB2312" w:eastAsia="仿宋_GB2312"/>
              </w:rPr>
              <w:t>开户银行：陕西中招招标有限责任公司</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及发改价格[2015]299号文件相关规定，以采购预算为基准计算收取。2.收取时间:中标人确定之日应当收取。3.支付时间：中标人确定之日起2日内一次性全额支付。费用包含在投标报价中，无论计算与否，均视为已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渭南市人民检察院</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渭南市人民检察院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符合国家、地方相关法律法规、技术标准规范及招标文件要求。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地址：西安市莲湖区沣惠路南段艺腾国际商务大厦十楼1015</w:t>
      </w:r>
    </w:p>
    <w:p>
      <w:pPr>
        <w:pStyle w:val="null3"/>
      </w:pPr>
      <w:r>
        <w:rPr>
          <w:rFonts w:ascii="仿宋_GB2312" w:hAnsi="仿宋_GB2312" w:cs="仿宋_GB2312" w:eastAsia="仿宋_GB2312"/>
        </w:rPr>
        <w:t>邮编：710002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对检察院办案（OA）系统数据库、GPU、操作系统、服务期等升级改造进行采购。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检察办公(0A)系统升级改造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标的名称：检察办公(0A)系统升级改造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4"/>
              <w:gridCol w:w="475"/>
              <w:gridCol w:w="931"/>
              <w:gridCol w:w="396"/>
              <w:gridCol w:w="485"/>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228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主要内容及要求</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检察院检察</w:t>
                  </w:r>
                  <w:r>
                    <w:rPr>
                      <w:rFonts w:ascii="仿宋_GB2312" w:hAnsi="仿宋_GB2312" w:cs="仿宋_GB2312" w:eastAsia="仿宋_GB2312"/>
                      <w:sz w:val="20"/>
                      <w:b/>
                      <w:color w:val="000000"/>
                    </w:rPr>
                    <w:t>OA系统开发服务</w:t>
                  </w: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提供定制化功能服务，包含但不限于以下内容：</w:t>
                  </w:r>
                </w:p>
                <w:p>
                  <w:pPr>
                    <w:pStyle w:val="null3"/>
                    <w:jc w:val="left"/>
                  </w:pPr>
                  <w:r>
                    <w:rPr>
                      <w:rFonts w:ascii="仿宋_GB2312" w:hAnsi="仿宋_GB2312" w:cs="仿宋_GB2312" w:eastAsia="仿宋_GB2312"/>
                      <w:sz w:val="20"/>
                      <w:color w:val="000000"/>
                    </w:rPr>
                    <w:t>提供门户管理、公文管理、信息管理、事务审批、日程管理、会议等管理功能：</w:t>
                  </w:r>
                </w:p>
                <w:p>
                  <w:pPr>
                    <w:pStyle w:val="null3"/>
                    <w:jc w:val="left"/>
                  </w:pPr>
                  <w:r>
                    <w:rPr>
                      <w:rFonts w:ascii="仿宋_GB2312" w:hAnsi="仿宋_GB2312" w:cs="仿宋_GB2312" w:eastAsia="仿宋_GB2312"/>
                      <w:sz w:val="20"/>
                      <w:color w:val="000000"/>
                    </w:rPr>
                    <w:t>1.门户管理：支持通过配置和开发方式实现其他访问链接和页面数据集成；支持管理员自定义界面；提供登录界面的LOGO、网页标题、登录框等设置；</w:t>
                  </w:r>
                </w:p>
                <w:p>
                  <w:pPr>
                    <w:pStyle w:val="null3"/>
                    <w:jc w:val="left"/>
                  </w:pPr>
                  <w:r>
                    <w:rPr>
                      <w:rFonts w:ascii="仿宋_GB2312" w:hAnsi="仿宋_GB2312" w:cs="仿宋_GB2312" w:eastAsia="仿宋_GB2312"/>
                      <w:sz w:val="20"/>
                      <w:color w:val="000000"/>
                    </w:rPr>
                    <w:t>2.公文管理：支持发文、收文、签报等多种文件流转方式；支持起草拟文、红头文件、打印空白表单；支持转发文、转收文、转签报文件关联；支持文号按需预留、跨年补录公文、文号作废或释放；支持来文、收文、签报、转发文办理及分发等相关处理；</w:t>
                  </w:r>
                </w:p>
                <w:p>
                  <w:pPr>
                    <w:pStyle w:val="null3"/>
                    <w:jc w:val="left"/>
                  </w:pPr>
                  <w:r>
                    <w:rPr>
                      <w:rFonts w:ascii="仿宋_GB2312" w:hAnsi="仿宋_GB2312" w:cs="仿宋_GB2312" w:eastAsia="仿宋_GB2312"/>
                      <w:sz w:val="20"/>
                      <w:color w:val="000000"/>
                    </w:rPr>
                    <w:t>3.信息管理：支持设置管理权限、维护权限和浏览权限、音视频文件的播放、信息在各分类栏目之间的批量移动与批量复制、信息的发布、保存草稿功能等。</w:t>
                  </w:r>
                </w:p>
                <w:p>
                  <w:pPr>
                    <w:pStyle w:val="null3"/>
                    <w:jc w:val="left"/>
                  </w:pPr>
                  <w:r>
                    <w:rPr>
                      <w:rFonts w:ascii="仿宋_GB2312" w:hAnsi="仿宋_GB2312" w:cs="仿宋_GB2312" w:eastAsia="仿宋_GB2312"/>
                      <w:sz w:val="20"/>
                      <w:color w:val="000000"/>
                    </w:rPr>
                    <w:t>4.日程管理：支持活动安排、待办事项提醒、查看下属工作动态等；</w:t>
                  </w:r>
                </w:p>
                <w:p>
                  <w:pPr>
                    <w:pStyle w:val="null3"/>
                    <w:jc w:val="left"/>
                  </w:pPr>
                  <w:r>
                    <w:rPr>
                      <w:rFonts w:ascii="仿宋_GB2312" w:hAnsi="仿宋_GB2312" w:cs="仿宋_GB2312" w:eastAsia="仿宋_GB2312"/>
                      <w:sz w:val="20"/>
                      <w:color w:val="000000"/>
                    </w:rPr>
                    <w:t>5.个人中心：支持头像、个性签名等基础设置；支持重置密码；支持查看单位内部联系人通讯录信息等；</w:t>
                  </w:r>
                </w:p>
                <w:p>
                  <w:pPr>
                    <w:pStyle w:val="null3"/>
                    <w:jc w:val="left"/>
                  </w:pPr>
                  <w:r>
                    <w:rPr>
                      <w:rFonts w:ascii="仿宋_GB2312" w:hAnsi="仿宋_GB2312" w:cs="仿宋_GB2312" w:eastAsia="仿宋_GB2312"/>
                      <w:sz w:val="20"/>
                      <w:color w:val="000000"/>
                    </w:rPr>
                    <w:t>6.会议管理：支持会议全过程跟踪，包含会议预定、议题征集、会议发起、会议统计等。</w:t>
                  </w:r>
                </w:p>
              </w:tc>
            </w:tr>
            <w:tr>
              <w:tc>
                <w:tcPr>
                  <w:tcW w:type="dxa" w:w="254"/>
                  <w:vMerge/>
                  <w:tcBorders>
                    <w:top w:val="none" w:color="000000" w:sz="4"/>
                    <w:left w:val="single" w:color="000000" w:sz="4"/>
                    <w:bottom w:val="single" w:color="000000" w:sz="4"/>
                    <w:right w:val="single" w:color="000000" w:sz="4"/>
                  </w:tcBorders>
                </w:tcP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实现办公自动化系统文件办结自动预归档，并与电子档案管理系统数据对接。</w:t>
                  </w:r>
                </w:p>
                <w:p>
                  <w:pPr>
                    <w:pStyle w:val="null3"/>
                    <w:jc w:val="left"/>
                  </w:pPr>
                  <w:r>
                    <w:rPr>
                      <w:rFonts w:ascii="仿宋_GB2312" w:hAnsi="仿宋_GB2312" w:cs="仿宋_GB2312" w:eastAsia="仿宋_GB2312"/>
                      <w:sz w:val="20"/>
                      <w:color w:val="000000"/>
                    </w:rPr>
                    <w:t>2.档案管理子系统支持对档案门类、年度、项目、分类表等目录树进行自定义创建；提供档案类型树切换、档案条目的新增、修改、批量修改、删除、电子全文维护、档号编制、档案浏览；支持自动归档、半自动归档和手动归档模式；档案分类、编码规则、显示方式可自定义设置；针对不同的用户群体设置不同的流程，包括：归档、借阅、移交和销毁。</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数据库</w:t>
                  </w: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1.为国产数据库，</w:t>
                  </w:r>
                  <w:r>
                    <w:rPr>
                      <w:rFonts w:ascii="仿宋_GB2312" w:hAnsi="仿宋_GB2312" w:cs="仿宋_GB2312" w:eastAsia="仿宋_GB2312"/>
                      <w:sz w:val="20"/>
                      <w:color w:val="000000"/>
                    </w:rPr>
                    <w:t>拥有自主知识产权，完全自主可控，达到《信息技术产品自主原创测评要求》（试行）</w:t>
                  </w:r>
                  <w:r>
                    <w:rPr>
                      <w:rFonts w:ascii="仿宋_GB2312" w:hAnsi="仿宋_GB2312" w:cs="仿宋_GB2312" w:eastAsia="仿宋_GB2312"/>
                      <w:sz w:val="20"/>
                      <w:color w:val="000000"/>
                      <w:shd w:fill="FFFFFF" w:val="clear"/>
                    </w:rPr>
                    <w:t>要求</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提供计算机软件著作权证书</w:t>
                  </w:r>
                  <w:r>
                    <w:rPr>
                      <w:rFonts w:ascii="仿宋_GB2312" w:hAnsi="仿宋_GB2312" w:cs="仿宋_GB2312" w:eastAsia="仿宋_GB2312"/>
                      <w:sz w:val="20"/>
                      <w:color w:val="000000"/>
                      <w:shd w:fill="FFFFFF" w:val="clear"/>
                    </w:rPr>
                    <w:t>）</w:t>
                  </w:r>
                  <w:r>
                    <w:rPr>
                      <w:rFonts w:ascii="仿宋_GB2312" w:hAnsi="仿宋_GB2312" w:cs="仿宋_GB2312" w:eastAsia="仿宋_GB2312"/>
                      <w:sz w:val="20"/>
                      <w:color w:val="000000"/>
                      <w:shd w:fill="FFFFFF" w:val="clear"/>
                    </w:rPr>
                    <w:t>，核</w:t>
                  </w:r>
                  <w:r>
                    <w:rPr>
                      <w:rFonts w:ascii="仿宋_GB2312" w:hAnsi="仿宋_GB2312" w:cs="仿宋_GB2312" w:eastAsia="仿宋_GB2312"/>
                      <w:sz w:val="20"/>
                      <w:color w:val="000000"/>
                    </w:rPr>
                    <w:t>心功能模块的核心源码自主代码比例不低于</w:t>
                  </w:r>
                  <w:r>
                    <w:rPr>
                      <w:rFonts w:ascii="仿宋_GB2312" w:hAnsi="仿宋_GB2312" w:cs="仿宋_GB2312" w:eastAsia="仿宋_GB2312"/>
                      <w:sz w:val="20"/>
                      <w:color w:val="000000"/>
                    </w:rPr>
                    <w:t>95%，需提供具备CMA或CNAS</w:t>
                  </w:r>
                  <w:r>
                    <w:rPr>
                      <w:rFonts w:ascii="仿宋_GB2312" w:hAnsi="仿宋_GB2312" w:cs="仿宋_GB2312" w:eastAsia="仿宋_GB2312"/>
                      <w:sz w:val="20"/>
                      <w:color w:val="000000"/>
                    </w:rPr>
                    <w:t>认可的</w:t>
                  </w:r>
                  <w:r>
                    <w:rPr>
                      <w:rFonts w:ascii="仿宋_GB2312" w:hAnsi="仿宋_GB2312" w:cs="仿宋_GB2312" w:eastAsia="仿宋_GB2312"/>
                      <w:sz w:val="20"/>
                      <w:color w:val="000000"/>
                    </w:rPr>
                    <w:t>检测机构出具的核心源代码开源率证明及自主原创性测评证书。</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具备数据存储、访问控制、身份鉴别、安全审计和数据备份恢复等功能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支持通过图形化管理工具管理系统或命令行工具，支持对数据对象（表、视图、索引等）的配置管理；支持标准化数据库访问接口，开发基于数据库的应用系统和软件产品</w:t>
                  </w:r>
                  <w:r>
                    <w:rPr>
                      <w:rFonts w:ascii="仿宋_GB2312" w:hAnsi="仿宋_GB2312" w:cs="仿宋_GB2312" w:eastAsia="仿宋_GB2312"/>
                      <w:sz w:val="20"/>
                      <w:color w:val="000000"/>
                    </w:rPr>
                    <w:t>功能</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支持通过中国信息安全测评中心测评的</w:t>
                  </w:r>
                  <w:r>
                    <w:rPr>
                      <w:rFonts w:ascii="仿宋_GB2312" w:hAnsi="仿宋_GB2312" w:cs="仿宋_GB2312" w:eastAsia="仿宋_GB2312"/>
                      <w:sz w:val="20"/>
                      <w:color w:val="000000"/>
                    </w:rPr>
                    <w:t>CPU架构服务器</w:t>
                  </w:r>
                  <w:r>
                    <w:rPr>
                      <w:rFonts w:ascii="仿宋_GB2312" w:hAnsi="仿宋_GB2312" w:cs="仿宋_GB2312" w:eastAsia="仿宋_GB2312"/>
                      <w:sz w:val="20"/>
                      <w:color w:val="000000"/>
                    </w:rPr>
                    <w:t>及</w:t>
                  </w:r>
                  <w:r>
                    <w:rPr>
                      <w:rFonts w:ascii="仿宋_GB2312" w:hAnsi="仿宋_GB2312" w:cs="仿宋_GB2312" w:eastAsia="仿宋_GB2312"/>
                      <w:sz w:val="20"/>
                      <w:color w:val="000000"/>
                    </w:rPr>
                    <w:t>主流国产操作系统平台（</w:t>
                  </w:r>
                  <w:r>
                    <w:rPr>
                      <w:rFonts w:ascii="仿宋_GB2312" w:hAnsi="仿宋_GB2312" w:cs="仿宋_GB2312" w:eastAsia="仿宋_GB2312"/>
                      <w:sz w:val="20"/>
                      <w:color w:val="000000"/>
                    </w:rPr>
                    <w:t>2024年1号、2号测评结果公告），符合</w:t>
                  </w:r>
                  <w:r>
                    <w:rPr>
                      <w:rFonts w:ascii="仿宋_GB2312" w:hAnsi="仿宋_GB2312" w:cs="仿宋_GB2312" w:eastAsia="仿宋_GB2312"/>
                      <w:sz w:val="20"/>
                      <w:color w:val="000000"/>
                    </w:rPr>
                    <w:t>《</w:t>
                  </w:r>
                  <w:r>
                    <w:rPr>
                      <w:rFonts w:ascii="仿宋_GB2312" w:hAnsi="仿宋_GB2312" w:cs="仿宋_GB2312" w:eastAsia="仿宋_GB2312"/>
                      <w:sz w:val="20"/>
                      <w:color w:val="000000"/>
                    </w:rPr>
                    <w:t>数据库政府采购需求标准</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rPr>
                      <w:rFonts w:ascii="仿宋_GB2312" w:hAnsi="仿宋_GB2312" w:cs="仿宋_GB2312" w:eastAsia="仿宋_GB2312"/>
                      <w:sz w:val="20"/>
                      <w:color w:val="000000"/>
                    </w:rPr>
                    <w:t>2023年版）；</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操作系统</w:t>
                  </w: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针对关键业务（数据中心，行业关键应用）负载而构建的高可靠、易管理</w:t>
                  </w:r>
                  <w:r>
                    <w:rPr>
                      <w:rFonts w:ascii="仿宋_GB2312" w:hAnsi="仿宋_GB2312" w:cs="仿宋_GB2312" w:eastAsia="仿宋_GB2312"/>
                      <w:sz w:val="20"/>
                      <w:color w:val="000000"/>
                    </w:rPr>
                    <w:t>Linux服务器操作系统；要求系统稳定、安全、高性能、可靠等，提供全生命周期的系统管理，保证系统安全。与检察工作网云平台操作系统兼容。具备文件管理、设备管理、日志营理、服务管理、进程和监控管理,网络管理、资源管理、软件包管理、硬盘管理等功能。</w:t>
                  </w:r>
                </w:p>
              </w:tc>
            </w:tr>
            <w:tr>
              <w:tc>
                <w:tcPr>
                  <w:tcW w:type="dxa" w:w="254"/>
                  <w:vMerge/>
                  <w:tcBorders>
                    <w:top w:val="none" w:color="000000" w:sz="4"/>
                    <w:left w:val="single" w:color="000000" w:sz="4"/>
                    <w:bottom w:val="single" w:color="000000" w:sz="4"/>
                    <w:right w:val="single" w:color="000000" w:sz="4"/>
                  </w:tcBorders>
                </w:tcP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具有与其他平台的兼容适配性，</w:t>
                  </w:r>
                  <w:r>
                    <w:rPr>
                      <w:rFonts w:ascii="仿宋_GB2312" w:hAnsi="仿宋_GB2312" w:cs="仿宋_GB2312" w:eastAsia="仿宋_GB2312"/>
                      <w:sz w:val="20"/>
                      <w:color w:val="000000"/>
                    </w:rPr>
                    <w:t>提供与其兼容的开发和运行接口。</w:t>
                  </w:r>
                </w:p>
              </w:tc>
            </w:tr>
            <w:tr>
              <w:tc>
                <w:tcPr>
                  <w:tcW w:type="dxa" w:w="254"/>
                  <w:vMerge/>
                  <w:tcBorders>
                    <w:top w:val="none" w:color="000000" w:sz="4"/>
                    <w:left w:val="single" w:color="000000" w:sz="4"/>
                    <w:bottom w:val="single" w:color="000000" w:sz="4"/>
                    <w:right w:val="single" w:color="000000" w:sz="4"/>
                  </w:tcBorders>
                </w:tcP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提供类似</w:t>
                  </w:r>
                  <w:r>
                    <w:rPr>
                      <w:rFonts w:ascii="仿宋_GB2312" w:hAnsi="仿宋_GB2312" w:cs="仿宋_GB2312" w:eastAsia="仿宋_GB2312"/>
                      <w:sz w:val="20"/>
                      <w:color w:val="000000"/>
                    </w:rPr>
                    <w:t>Windows 的经典和创新用户体验,满足不同的视觉和交互需求;基于插件模式将系统主题、桌面、任务栏、开始菜单等桌面组件并行加载，优化桌面图形加载速度;基于组件的桌面环境管理方式，组件之间采用高可靠进程间通信，有效提高系统稳定性。</w:t>
                  </w:r>
                </w:p>
              </w:tc>
            </w:tr>
            <w:tr>
              <w:tc>
                <w:tcPr>
                  <w:tcW w:type="dxa" w:w="254"/>
                  <w:vMerge/>
                  <w:tcBorders>
                    <w:top w:val="none" w:color="000000" w:sz="4"/>
                    <w:left w:val="single" w:color="000000" w:sz="4"/>
                    <w:bottom w:val="single" w:color="000000" w:sz="4"/>
                    <w:right w:val="single" w:color="000000" w:sz="4"/>
                  </w:tcBorders>
                </w:tcP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优化支持</w:t>
                  </w:r>
                  <w:r>
                    <w:rPr>
                      <w:rFonts w:ascii="仿宋_GB2312" w:hAnsi="仿宋_GB2312" w:cs="仿宋_GB2312" w:eastAsia="仿宋_GB2312"/>
                      <w:sz w:val="20"/>
                      <w:color w:val="000000"/>
                    </w:rPr>
                    <w:t>KVM、Docker、LXC 等虚拟化,以及 Ceph、GlusterFs、OpenStack、k8s 等原生技术生态,实现对容器、虚拟化、云平台、大数据等云原生应用的良好支持;提供新业务容器化运行和高性能可伸缩的容器应用管理平台。</w:t>
                  </w:r>
                </w:p>
              </w:tc>
            </w:tr>
            <w:tr>
              <w:tc>
                <w:tcPr>
                  <w:tcW w:type="dxa" w:w="254"/>
                  <w:vMerge/>
                  <w:tcBorders>
                    <w:top w:val="none" w:color="000000" w:sz="4"/>
                    <w:left w:val="single" w:color="000000" w:sz="4"/>
                    <w:bottom w:val="single" w:color="000000" w:sz="4"/>
                    <w:right w:val="single" w:color="000000" w:sz="4"/>
                  </w:tcBorders>
                </w:tcP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w:t>
                  </w:r>
                  <w:r>
                    <w:rPr>
                      <w:rFonts w:ascii="仿宋_GB2312" w:hAnsi="仿宋_GB2312" w:cs="仿宋_GB2312" w:eastAsia="仿宋_GB2312"/>
                      <w:sz w:val="20"/>
                      <w:color w:val="000000"/>
                    </w:rPr>
                    <w:t>XFS文件系统、备份恢复、网卡绑定、硬件冗余等技术和配套的磁盘心跳级麒麟高可用集群软件，实现主机系统和业务应用的高可用保护，对外提供可持续服务。</w:t>
                  </w:r>
                </w:p>
              </w:tc>
            </w:tr>
            <w:tr>
              <w:tc>
                <w:tcPr>
                  <w:tcW w:type="dxa" w:w="254"/>
                  <w:vMerge/>
                  <w:tcBorders>
                    <w:top w:val="none" w:color="000000" w:sz="4"/>
                    <w:left w:val="single" w:color="000000" w:sz="4"/>
                    <w:bottom w:val="single" w:color="000000" w:sz="4"/>
                    <w:right w:val="single" w:color="000000" w:sz="4"/>
                  </w:tcBorders>
                </w:tcP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提供图形化管理工具和统一的管理平台，实现对物理服务器集群运行状态的监控及预警、对虚拟化集群的配置及管控、对高可用集群的策略定制和资源调配等功能。</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GPU</w:t>
                  </w:r>
                </w:p>
              </w:tc>
              <w:tc>
                <w:tcPr>
                  <w:tcW w:type="dxa" w:w="228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1、数量：4张。</w:t>
                  </w:r>
                </w:p>
                <w:p>
                  <w:pPr>
                    <w:pStyle w:val="null3"/>
                    <w:jc w:val="left"/>
                  </w:pPr>
                  <w:r>
                    <w:rPr>
                      <w:rFonts w:ascii="仿宋_GB2312" w:hAnsi="仿宋_GB2312" w:cs="仿宋_GB2312" w:eastAsia="仿宋_GB2312"/>
                      <w:sz w:val="20"/>
                      <w:color w:val="000000"/>
                    </w:rPr>
                    <w:t>2、内存：容量≥24GB，LPDDR4X 及以上标准 ，总带宽≥200GB/s ，满足 AI 推理、视频编解码等场景数据传输需求 。</w:t>
                  </w:r>
                </w:p>
                <w:p>
                  <w:pPr>
                    <w:pStyle w:val="null3"/>
                    <w:jc w:val="left"/>
                  </w:pPr>
                  <w:r>
                    <w:rPr>
                      <w:rFonts w:ascii="仿宋_GB2312" w:hAnsi="仿宋_GB2312" w:cs="仿宋_GB2312" w:eastAsia="仿宋_GB2312"/>
                      <w:sz w:val="20"/>
                      <w:color w:val="000000"/>
                    </w:rPr>
                    <w:t>3、AI算力：支持 INT8 精度下≥140TOPS 运算能力 ，FP16 精度下≥70TFLOPS 运算能力 ，具备高效 AI 模型推理、训练加速能力 ，适配常见深度学习框架等。</w:t>
                  </w:r>
                </w:p>
                <w:p>
                  <w:pPr>
                    <w:pStyle w:val="null3"/>
                    <w:jc w:val="left"/>
                  </w:pPr>
                  <w:r>
                    <w:rPr>
                      <w:rFonts w:ascii="仿宋_GB2312" w:hAnsi="仿宋_GB2312" w:cs="仿宋_GB2312" w:eastAsia="仿宋_GB2312"/>
                      <w:sz w:val="20"/>
                      <w:color w:val="000000"/>
                    </w:rPr>
                    <w:t>4、编解码能力：需支持 H.264、H.265 视频编解码标准（支持 4K 及以上分辨率视频实时编解码优先），具备 JPEG 图片编解码功能 ，可高效处理视频流、图像数据输入输出 。</w:t>
                  </w:r>
                </w:p>
                <w:p>
                  <w:pPr>
                    <w:pStyle w:val="null3"/>
                    <w:jc w:val="left"/>
                  </w:pPr>
                  <w:r>
                    <w:rPr>
                      <w:rFonts w:ascii="仿宋_GB2312" w:hAnsi="仿宋_GB2312" w:cs="仿宋_GB2312" w:eastAsia="仿宋_GB2312"/>
                      <w:sz w:val="20"/>
                      <w:color w:val="000000"/>
                    </w:rPr>
                    <w:t>5、CPU算力：核心数≥8 核*1.9GHz ，支持多线程并行运算 ，满足设备系统调度、数据预处理等 CPU 侧算力需求 。</w:t>
                  </w:r>
                </w:p>
                <w:p>
                  <w:pPr>
                    <w:pStyle w:val="null3"/>
                    <w:jc w:val="left"/>
                  </w:pPr>
                  <w:r>
                    <w:rPr>
                      <w:rFonts w:ascii="仿宋_GB2312" w:hAnsi="仿宋_GB2312" w:cs="仿宋_GB2312" w:eastAsia="仿宋_GB2312"/>
                      <w:sz w:val="20"/>
                      <w:color w:val="000000"/>
                    </w:rPr>
                    <w:t>6、PCle：PCle x16 Gen4.0；</w:t>
                  </w:r>
                </w:p>
                <w:p>
                  <w:pPr>
                    <w:pStyle w:val="null3"/>
                    <w:jc w:val="left"/>
                  </w:pPr>
                  <w:r>
                    <w:rPr>
                      <w:rFonts w:ascii="仿宋_GB2312" w:hAnsi="仿宋_GB2312" w:cs="仿宋_GB2312" w:eastAsia="仿宋_GB2312"/>
                      <w:sz w:val="20"/>
                      <w:color w:val="000000"/>
                    </w:rPr>
                    <w:t>7、形态：半高半长PCle卡；</w:t>
                  </w:r>
                </w:p>
                <w:p>
                  <w:pPr>
                    <w:pStyle w:val="null3"/>
                    <w:jc w:val="left"/>
                  </w:pPr>
                  <w:r>
                    <w:rPr>
                      <w:rFonts w:ascii="仿宋_GB2312" w:hAnsi="仿宋_GB2312" w:cs="仿宋_GB2312" w:eastAsia="仿宋_GB2312"/>
                      <w:sz w:val="20"/>
                      <w:color w:val="000000"/>
                    </w:rPr>
                    <w:t>8、工作环境温度：工作环境温度支持 0℃~55℃ ，具备一定环境适应性 ，在常规机房、工业现场等环境可稳定运行 。</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名称</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服务器附件</w:t>
                  </w:r>
                </w:p>
              </w:tc>
              <w:tc>
                <w:tcPr>
                  <w:tcW w:type="dxa" w:w="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技术要求</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单套数量</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总数</w:t>
                  </w:r>
                </w:p>
              </w:tc>
            </w:tr>
            <w:tr>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服务器</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服务器机箱</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服务器机箱需支持至少</w:t>
                  </w:r>
                  <w:r>
                    <w:rPr>
                      <w:rFonts w:ascii="仿宋_GB2312" w:hAnsi="仿宋_GB2312" w:cs="仿宋_GB2312" w:eastAsia="仿宋_GB2312"/>
                      <w:sz w:val="20"/>
                      <w:color w:val="000000"/>
                    </w:rPr>
                    <w:t>12 块 3.5 英寸硬盘扩展，具备标准 EXP 机箱结构，兼容主流服务器硬件架构，</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散热、防尘设计，满足</w:t>
                  </w:r>
                  <w:r>
                    <w:rPr>
                      <w:rFonts w:ascii="仿宋_GB2312" w:hAnsi="仿宋_GB2312" w:cs="仿宋_GB2312" w:eastAsia="仿宋_GB2312"/>
                      <w:sz w:val="20"/>
                      <w:color w:val="000000"/>
                    </w:rPr>
                    <w:t>7×24 小时稳定运行需求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主板</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≥2 颗处理器，单颗处理器核心数≥64 核，基础主频≥2.6GHz ，</w:t>
                  </w:r>
                  <w:r>
                    <w:rPr>
                      <w:rFonts w:ascii="仿宋_GB2312" w:hAnsi="仿宋_GB2312" w:cs="仿宋_GB2312" w:eastAsia="仿宋_GB2312"/>
                      <w:sz w:val="20"/>
                      <w:color w:val="000000"/>
                    </w:rPr>
                    <w:t>≥3个</w:t>
                  </w:r>
                  <w:r>
                    <w:rPr>
                      <w:rFonts w:ascii="仿宋_GB2312" w:hAnsi="仿宋_GB2312" w:cs="仿宋_GB2312" w:eastAsia="仿宋_GB2312"/>
                      <w:sz w:val="20"/>
                      <w:color w:val="000000"/>
                    </w:rPr>
                    <w:t>扩展接口，支持内存、硬盘、网卡等组件高效适配，符合信创技术体系兼容性要求</w:t>
                  </w:r>
                  <w:r>
                    <w:rPr>
                      <w:rFonts w:ascii="仿宋_GB2312" w:hAnsi="仿宋_GB2312" w:cs="仿宋_GB2312" w:eastAsia="仿宋_GB2312"/>
                      <w:sz w:val="20"/>
                      <w:color w:val="000000"/>
                    </w:rPr>
                    <w:t>。</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内存</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内存类型为</w:t>
                  </w:r>
                  <w:r>
                    <w:rPr>
                      <w:rFonts w:ascii="仿宋_GB2312" w:hAnsi="仿宋_GB2312" w:cs="仿宋_GB2312" w:eastAsia="仿宋_GB2312"/>
                      <w:sz w:val="20"/>
                      <w:color w:val="000000"/>
                    </w:rPr>
                    <w:t>DDR4 及以上标准，单条容量≥32GB ，具备良好的兼容性和稳定性，与主板、处理器协同工作无兼容性问题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Riser卡</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Riser 卡需提供</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3 个 PCIe 16X 标准插槽，支持 PCIe 3.0 及以上协议，保障扩展卡高速数据传输，具备稳固的物理结构，适配服务器机箱内部空间布局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SATA SSD</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企业级</w:t>
                  </w:r>
                  <w:r>
                    <w:rPr>
                      <w:rFonts w:ascii="仿宋_GB2312" w:hAnsi="仿宋_GB2312" w:cs="仿宋_GB2312" w:eastAsia="仿宋_GB2312"/>
                      <w:sz w:val="20"/>
                      <w:color w:val="000000"/>
                    </w:rPr>
                    <w:t xml:space="preserve">SATA SSD 硬盘，容量≥480GB ，2.5 </w:t>
                  </w:r>
                  <w:r>
                    <w:rPr>
                      <w:rFonts w:ascii="仿宋_GB2312" w:hAnsi="仿宋_GB2312" w:cs="仿宋_GB2312" w:eastAsia="仿宋_GB2312"/>
                      <w:sz w:val="20"/>
                      <w:color w:val="000000"/>
                    </w:rPr>
                    <w:t>吋</w:t>
                  </w:r>
                  <w:r>
                    <w:rPr>
                      <w:rFonts w:ascii="仿宋_GB2312" w:hAnsi="仿宋_GB2312" w:cs="仿宋_GB2312" w:eastAsia="仿宋_GB2312"/>
                      <w:sz w:val="20"/>
                      <w:color w:val="000000"/>
                    </w:rPr>
                    <w:t>，顺序读取速度</w:t>
                  </w:r>
                  <w:r>
                    <w:rPr>
                      <w:rFonts w:ascii="仿宋_GB2312" w:hAnsi="仿宋_GB2312" w:cs="仿宋_GB2312" w:eastAsia="仿宋_GB2312"/>
                      <w:sz w:val="20"/>
                      <w:color w:val="000000"/>
                    </w:rPr>
                    <w:t>≥500 MB/s，具备掉电保护、磨损均衡等企业级特性，平均无故障时间（MTBF）≥150 万小时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SATA HDD</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≥6TB ，接口速率≥6Gb/s ，转速≥7200RPM ，3.5 英寸规格，具备低功耗、高可靠性设计，支持 RAID 阵列组建</w:t>
                  </w:r>
                  <w:r>
                    <w:rPr>
                      <w:rFonts w:ascii="仿宋_GB2312" w:hAnsi="仿宋_GB2312" w:cs="仿宋_GB2312" w:eastAsia="仿宋_GB2312"/>
                      <w:sz w:val="20"/>
                      <w:color w:val="000000"/>
                    </w:rPr>
                    <w:t>。</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RAID标卡</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RAID 控制卡，支持 RAID 0、1、5、10 等常用阵列模式，具备硬件加速功能，缓存容量≥1GB ，适配服务器硬盘接口类型（SATA/SAS 等），支持在线扩容、阵列迁移等管理功能，保障数据存储安全与读写效率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RAID卡线缆</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RAID 卡专用高速数据线缆，接口类型为 Mini SAS HD ，长度适配服务器内部布线需求，传输速率满足 RAID 卡与硬盘背板数据交互要求，具备抗干扰、低衰减特性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超级电容</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为</w:t>
                  </w:r>
                  <w:r>
                    <w:rPr>
                      <w:rFonts w:ascii="仿宋_GB2312" w:hAnsi="仿宋_GB2312" w:cs="仿宋_GB2312" w:eastAsia="仿宋_GB2312"/>
                      <w:sz w:val="20"/>
                      <w:color w:val="000000"/>
                    </w:rPr>
                    <w:t>RAID 卡配套的超级电容模块，具备断电保护功能，支持在意外断电时将 RAID 卡缓存数据安全写入硬盘，保障数据完整性，容量与放电时间满足 RAID 卡缓存保护需求，兼容所选 RAID 控制卡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电源模块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交流输入电源模块，额定功率需满足服务器整机功耗需求，提供过压、过流、欠压保护功能</w:t>
                  </w:r>
                  <w:r>
                    <w:rPr>
                      <w:rFonts w:ascii="仿宋_GB2312" w:hAnsi="仿宋_GB2312" w:cs="仿宋_GB2312" w:eastAsia="仿宋_GB2312"/>
                      <w:sz w:val="20"/>
                      <w:color w:val="000000"/>
                    </w:rPr>
                    <w:t>。</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服务器配套交流电源线，分别提供长度</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约</w:t>
                  </w:r>
                  <w:r>
                    <w:rPr>
                      <w:rFonts w:ascii="仿宋_GB2312" w:hAnsi="仿宋_GB2312" w:cs="仿宋_GB2312" w:eastAsia="仿宋_GB2312"/>
                      <w:sz w:val="20"/>
                      <w:color w:val="000000"/>
                    </w:rPr>
                    <w:t>3m  规格，符合国标/国际通用插头、线缆标准，线径满足电源模块功率传输要求，具备良好的绝缘、耐温性能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服务器配套交流电源线，分别提供长度</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1.5</w:t>
                  </w:r>
                  <w:r>
                    <w:rPr>
                      <w:rFonts w:ascii="仿宋_GB2312" w:hAnsi="仿宋_GB2312" w:cs="仿宋_GB2312" w:eastAsia="仿宋_GB2312"/>
                      <w:sz w:val="20"/>
                      <w:color w:val="000000"/>
                    </w:rPr>
                    <w:t>m规格，符合国标/国际通用插头、线缆标准，线径满足电源模块功率传输要求，具备良好的绝缘、耐温性能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网卡</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服务器网卡，提供至少</w:t>
                  </w:r>
                  <w:r>
                    <w:rPr>
                      <w:rFonts w:ascii="仿宋_GB2312" w:hAnsi="仿宋_GB2312" w:cs="仿宋_GB2312" w:eastAsia="仿宋_GB2312"/>
                      <w:sz w:val="20"/>
                      <w:color w:val="000000"/>
                    </w:rPr>
                    <w:t>2 个 10Gb 网络接口，接口类型为 SFP+ ，适配 PCIe 3.0 x8 及以上插槽，支持万兆网络数据传输，兼容主流网络交换机，具备网络唤醒、流量控制等功能，支持无模块或适配通用 SFP+ 光模块。</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光模块</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SFP+ 光模块，传输速率 10G ，多模光纤适配，工作波长 850nm ，传输距离≥0.3km ，接口类型 LC ，与所选网卡、交换机兼容，满足服务器万兆网络光信号传输需求 。</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滑轨</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服务器滑轨套件，适配</w:t>
                  </w:r>
                  <w:r>
                    <w:rPr>
                      <w:rFonts w:ascii="仿宋_GB2312" w:hAnsi="仿宋_GB2312" w:cs="仿宋_GB2312" w:eastAsia="仿宋_GB2312"/>
                      <w:sz w:val="20"/>
                      <w:color w:val="000000"/>
                    </w:rPr>
                    <w:t>2U 服务器机箱，为静态滑轨设计，具备顺滑安装、固定功能，承重能力满足服务器整机重量，兼容标准服务器机柜安装尺寸。</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标签包装</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提供完整的服务器及附件标签标识，包含设备型号、序列号、资产编码等信息，便于资产管理</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常规固件</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常规固件需为官方发布的稳定版本，支持后续固件升级服务，保障设备功能优化与安全补丁更新</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相关服务</w:t>
                  </w: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服务器及硬盘维保服务，服务期限</w:t>
                  </w:r>
                  <w:r>
                    <w:rPr>
                      <w:rFonts w:ascii="仿宋_GB2312" w:hAnsi="仿宋_GB2312" w:cs="仿宋_GB2312" w:eastAsia="仿宋_GB2312"/>
                      <w:sz w:val="20"/>
                      <w:color w:val="000000"/>
                    </w:rPr>
                    <w:t>2</w:t>
                  </w:r>
                  <w:r>
                    <w:rPr>
                      <w:rFonts w:ascii="仿宋_GB2312" w:hAnsi="仿宋_GB2312" w:cs="仿宋_GB2312" w:eastAsia="仿宋_GB2312"/>
                      <w:sz w:val="20"/>
                      <w:color w:val="000000"/>
                    </w:rPr>
                    <w:t>年</w:t>
                  </w:r>
                  <w:r>
                    <w:rPr>
                      <w:rFonts w:ascii="仿宋_GB2312" w:hAnsi="仿宋_GB2312" w:cs="仿宋_GB2312" w:eastAsia="仿宋_GB2312"/>
                      <w:sz w:val="20"/>
                      <w:color w:val="000000"/>
                    </w:rPr>
                    <w:t>。需提供原厂或具备对应资质第三方服务商的维保</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，涵盖服务器硬件故障维修、备件更换（硬盘、电源、主板等关键部件</w:t>
                  </w:r>
                  <w:r>
                    <w:rPr>
                      <w:rFonts w:ascii="仿宋_GB2312" w:hAnsi="仿宋_GB2312" w:cs="仿宋_GB2312" w:eastAsia="仿宋_GB2312"/>
                      <w:sz w:val="20"/>
                      <w:color w:val="000000"/>
                    </w:rPr>
                    <w:t>）、年度硬件检测等。</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硬盘介质保留服务</w:t>
                  </w:r>
                  <w:r>
                    <w:rPr>
                      <w:rFonts w:ascii="仿宋_GB2312" w:hAnsi="仿宋_GB2312" w:cs="仿宋_GB2312" w:eastAsia="仿宋_GB2312"/>
                      <w:sz w:val="20"/>
                      <w:color w:val="000000"/>
                    </w:rPr>
                    <w:t>2年，</w:t>
                  </w:r>
                  <w:r>
                    <w:rPr>
                      <w:rFonts w:ascii="仿宋_GB2312" w:hAnsi="仿宋_GB2312" w:cs="仿宋_GB2312" w:eastAsia="仿宋_GB2312"/>
                      <w:sz w:val="20"/>
                      <w:color w:val="000000"/>
                    </w:rPr>
                    <w:t>需保障故障硬盘数据安全存储、销毁，遵循数据安全法规，提供服务报告与数据处理记录</w:t>
                  </w:r>
                  <w:r>
                    <w:rPr>
                      <w:rFonts w:ascii="仿宋_GB2312" w:hAnsi="仿宋_GB2312" w:cs="仿宋_GB2312" w:eastAsia="仿宋_GB2312"/>
                      <w:sz w:val="20"/>
                      <w:color w:val="000000"/>
                    </w:rPr>
                    <w:t>。</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54"/>
                  <w:vMerge/>
                  <w:tcBorders>
                    <w:top w:val="none" w:color="000000" w:sz="4"/>
                    <w:left w:val="single" w:color="000000" w:sz="4"/>
                    <w:bottom w:val="single" w:color="000000" w:sz="4"/>
                    <w:right w:val="single" w:color="000000" w:sz="4"/>
                  </w:tcBorders>
                </w:tcPr>
                <w:p/>
              </w:tc>
              <w:tc>
                <w:tcPr>
                  <w:tcW w:type="dxa" w:w="475"/>
                  <w:vMerge/>
                  <w:tcBorders>
                    <w:top w:val="none" w:color="000000" w:sz="4"/>
                    <w:left w:val="none" w:color="000000" w:sz="4"/>
                    <w:bottom w:val="single" w:color="000000" w:sz="4"/>
                    <w:right w:val="single" w:color="000000" w:sz="4"/>
                  </w:tcBorders>
                </w:tcPr>
                <w:p/>
              </w:tc>
              <w:tc>
                <w:tcPr>
                  <w:tcW w:type="dxa" w:w="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整机安装服务</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科学严谨的组织机构架构和团队人员名册，人员职责岗位明确清晰。配备的项目团队应至少包含项目经理、需求调查人员、系统开发工程师、安装调试人员、运维服务、技术培训等人员，团队人员应具有一定的专业技术知识和同类项目经验，可兼职不超过两个职位。提供人员劳动合同或社保证明（人员须为供应商本单位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供应商需自行配备履约所需的工具、仪器、设施设备，保证项目顺利实施。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（一）项目适用场景： 为采购人管理及处理业务提供诸如门户管理、公文管理、信息管理、事务审批、日程管理、会议管理等功能。 （二）产品质量： 1.硬件功能、性能应能完全满足项目要求（见上表），技术先进、安全可靠。 2.与采购人现有系统/设备兼容，且支持未来业务扩展、技术/业务升级等需求。 3.硬件为全新正品，来源渠道可靠、合法，售后维保有原厂支持。 4.满足国标、行标及相关规范要求。 （三）系统要求： 1.功能匹配度要求：与采购人业务范围适配性高，覆盖案件管理、公文流转、审批流程、档案管理、通知公告等检察专属场景，满足检察院机构的特殊流程需求。 2、软件开发：进行前期需求调研，对现状进行剖析，提供完整的建设思路及整体架构，对方案进行设计及调整，对系统进行开发，对系统部署及对接思路清晰。 3.支持根据具体需求调整功能模块，如新增专项业务流程、对接内部业务系统（如办案系统、档案系统）。 4.界面符合检察人员操作习惯，提供批量处理、快捷检索等高效功能，降低学习和使用成本，简单易用。 5.符合《网络安全等级保护基本要求》，至少达到等保2.0三级及以上标准，保障司法数据（如案件信息、当事人隐私）不泄露、不篡改。 6.支持细粒度权限划分（如按部门、岗位、角色设置数据查看/编辑权限），具备操作日志追溯功能，满足数据保密和权限管控要求。 7.提供数据加密（传输/存储）、备份与恢复机制，能抵御SQL注入、恶意攻击等风险，防止敏感数据泄露，提高数据安全性。 8.与现有软硬件兼容，系统架构支持用户量、业务量增长、兼容未来技术升级等。 9. 支持手机、平板等移动设备访问，满足检察人员外出办公、紧急审批等场景需求，且移动端功能与PC端同步安全，移动适配性高。 10.系统支持高并发访问，无频繁卡顿、崩溃问题，核心业务场景可用性需达99.9%以上，技术稳定性高。 11.采用主流、稳定的技术架构，具备国产化适配能力，提高技术成熟度。 12.技术响应速度：关键操作响应时间在合理范围内，避免影响办公效率。 13. 供应商应提供先进、合理的技术方案，明确实施阶段各部分内容、时间节点与交付物。方案应紧密结合采购方业务需求，架构设计先进，技术路线清晰合理，具有前瞻性。 14.供应商应有近3年检察、法院等司法OA类项目成功案例，具有丰富的同类项目经验。 15.供应商投标应提供产品软件著作权证书、合法来源证明等，保证知识产权清晰、安全。 16.中标方需向使用方提供技术指导和技术升级。 （四）安装调试要求 对所需硬件进行安装，并进行整体测试。 （五）进度保障 有完整、合理、科学的进度计划，保证项目按时完成。 （六）售后维保服务 1.提供本地化维保服务团队，至少1名驻场工程师（或专属远程对接工程师），具备3年以上OA系统运维经验等。 2.服务方式：提供线上、线下并存的服务方式。 3.维保时间：终验收后2年免费维护， 4.服务范围（不仅限于以下） ①系统状态监控 ②日志检查与分析： ③数据备份与校验： ④硬件日常运维； ⑤升级服务：对软件进行定期升级优化。 5.服务质量标准 5.1 OA系统全年可用性≥99.9%（计划停机除外）。 5.2数据安全要求： - 每日自动备份全量数据，备份文件保留≥30天，每月进行1次备份恢复测试。 - 禁止泄露系统数据及用户信息，违反需承担法律责任。 5.3文档交付要求：运维后3个工作日内提交《故障处理报告》《巡检报告》，年度提供《运维总结与优化建议报告》。 6.响应与处理机制 6.1 提供7x24小时热线服务。 6.2紧急故障（系统瘫痪、核心流程中断）：15分钟内响应，2小时内出具解决方案。 6.3一般故障（单个功能异常、个别用户问题）：30分钟内响应，4小时内解决。 7.责任与考核 7.1责任：因自身操作失误导致数据丢失或系统故障，责任方需承担数据恢复费用及相应损失。 7.2考核机制：使用方按月度/季度对运维方“响应时效、故障解决率、用户满意度”等进行考核，满意度低于90%需整改，连续2次不达标可终止合作。 8、技术培训: 8.1培训对象：针对检察人员提供分层培训（如管理员、普通用户等），确保各种人员熟练使用系统功能。 8.2培训内容：操作培训、管理员运维培训，且应覆盖系统功能、日常运维、故障排查等。 8.3 培训次数：升级改造完成后对采购人所涉及的所有人员进行集中培训，培训时间不少于4小时；以后每季度视情况对采购人针对新增功能、高频操作问题进行讲解；根据系统更新及用户反馈，定期更新《OA 系统操作手册》，补充常见问题等。 8.4培训方式：分线上/线下（现场）。 （七）安全风险防控: 具有全方位安全预防及保证方案，如网络安全、数据加密、入侵检测、防篡改、三员管理等，安全风险预防及控制措施具体可行。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自合同签订之日起2个月内完成升级改造。</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渭南市人民检察院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（一）验收依据 1. 《项目采购合同》 2. 《项目需求规格说明书》 3. 《项目实施方案》 4. 《系统设计文档》 5. 招标文件 6. 投标文件（中标人） 7. 甲乙双方其他补充文件 8. 国家及行业相关标准与规范 （二）验收原则 1. 客观公正原则： 以合同和需求规格说明书为基准，以测试数据和事实为依据，进行科学、公正的评价。 2.规范严谨原则： 严格按照本方案规定的流程、方法和标准执行，确保验收过程的规范性和结果的准确性。 3.用户导向原则： 将最终用户（本院干警）的实际使用体验和反馈作为重要验收依据。 4.分步实施原则： 遵循先初验后终验的流程，确保问题在初验阶段得以发现和解决，为终验打下坚实基础。 （三）验收标准 功能达标：核心模块（如公文处理、审批流转、日程管理、信息发布等）满足需求规格，符合检察工作流程规范。 性能稳定：响应速度、并发处理能力、系统稳定性达标，无频繁卡顿或崩溃。 安全合规：符合等保要求，具备权限管控、数据加密、日志审计等安全机制，保障检察数据保密。 易用适配：界面友好、操作便捷，兼容检察系统现有硬件及网络环境，支持移动办公需求。 文档齐全：交付的需求文档、设计文档、操作手册、测试报告等完整规范。 运维保障：开发商提供必要的培训、技术支持及售后维护承诺。 稳定性与可靠性：评估试运行期间系统的宕机时间、故障频率及恢复能力。要求系统可用性达到99.9%以上。 用户满意度调查：向全院或抽样用户发放《用户满意度调查问卷》，收集用户体验反馈。满意度目标需达到90%以上。 运维移交验收： 检查运维文档、知识转移培训记录、运维团队资质和响应机制是否到位。 项目整体交付物： 最终核对所有合同规定的交付物是否齐全。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中标供应商按照服务要求完成项目所有升级改造内容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按本项目采购合同及《民法典》等相关规定执行，详见拟定合同条款。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（一）质保期： 1.1系统质保期限：项目终验合格之日起两年，质保期内由中标方进行项目整体运行维保服务。 1.2服务器及硬盘介质质保期限：项目终验合格之日起两年的质保（须由原厂或具备对应资质第三方进行服务）。 （二）其他说明：1.评标小组： （1）依法从省财政厅专家库中随机抽取相关专业专家4名，与1名采购人代表组成5人评标小组。 （2）评标小组推荐一名专家担任组长，负责项目评审工作。 2.本项目所属行业：其他未列明行业。中小企业划型标准（1）从业人员≥300人，为大型企业；（2）100人≤从业人员＜300人，为中型企业；（3）10人≤从业人员＜100人，为小型企业；（4）从业人员＜10人以下，为微型企业。 3.线上文件编制：供应商编制文件时，应首先按招标文件给定的目录、顺序、内容及格式进行编制，其次供应商可根据其响应实际情况，在招标文件给定的目录下增设多级子目录或其他新目录，内容对应准确，页码清晰。 4.项目评审结束后3个工作日内，中标供应商应提供纸质版响应文件三套（资质、商务、技术编制并胶装成一册），送至代理机构存档备案。线下纸质版文件应与线上电子文件内容及格式保持一致。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政府采购法第二十二条承诺.docx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提供供应商2024年年度财务报表（包括资产负债表、利润表、现金流量表；）或供应商开户银行针对本项目开具的资信良好证明；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禁止投标情形承诺书.docx 投标函 法定代表人关联关系声明.docx 供应商关联关系声明.docx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法定代表人（或负责人）资格证明</w:t>
            </w:r>
          </w:p>
        </w:tc>
        <w:tc>
          <w:tcPr>
            <w:tcW w:type="dxa" w:w="3322"/>
          </w:tcPr>
          <w:p>
            <w:pPr>
              <w:pStyle w:val="null3"/>
            </w:pPr>
            <w:r>
              <w:rPr>
                <w:rFonts w:ascii="仿宋_GB2312" w:hAnsi="仿宋_GB2312" w:cs="仿宋_GB2312" w:eastAsia="仿宋_GB2312"/>
              </w:rPr>
              <w:t>提供法定代表人（或负责人）资格证明；</w:t>
            </w:r>
          </w:p>
        </w:tc>
        <w:tc>
          <w:tcPr>
            <w:tcW w:type="dxa" w:w="1661"/>
          </w:tcPr>
          <w:p>
            <w:pPr>
              <w:pStyle w:val="null3"/>
            </w:pPr>
            <w:r>
              <w:rPr>
                <w:rFonts w:ascii="仿宋_GB2312" w:hAnsi="仿宋_GB2312" w:cs="仿宋_GB2312" w:eastAsia="仿宋_GB2312"/>
              </w:rPr>
              <w:t>法定代表人资格证明.docx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财务报表或资信证明</w:t>
            </w:r>
          </w:p>
        </w:tc>
        <w:tc>
          <w:tcPr>
            <w:tcW w:type="dxa" w:w="3322"/>
          </w:tcPr>
          <w:p>
            <w:pPr>
              <w:pStyle w:val="null3"/>
            </w:pPr>
            <w:r>
              <w:rPr>
                <w:rFonts w:ascii="仿宋_GB2312" w:hAnsi="仿宋_GB2312" w:cs="仿宋_GB2312" w:eastAsia="仿宋_GB2312"/>
              </w:rPr>
              <w:t>提供供应商2024年年度财务报表（包括资产负债表、利润表、现金流量表）或供应商开户银行针对本项目开具的资信良好证明；</w:t>
            </w:r>
          </w:p>
        </w:tc>
        <w:tc>
          <w:tcPr>
            <w:tcW w:type="dxa" w:w="1661"/>
          </w:tcPr>
          <w:p>
            <w:pPr>
              <w:pStyle w:val="null3"/>
            </w:pPr>
            <w:r>
              <w:rPr>
                <w:rFonts w:ascii="仿宋_GB2312" w:hAnsi="仿宋_GB2312" w:cs="仿宋_GB2312" w:eastAsia="仿宋_GB2312"/>
              </w:rPr>
              <w:t>财务报表或资信证明.docx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完税及社保缴纳证明</w:t>
            </w:r>
          </w:p>
        </w:tc>
        <w:tc>
          <w:tcPr>
            <w:tcW w:type="dxa" w:w="3322"/>
          </w:tcPr>
          <w:p>
            <w:pPr>
              <w:pStyle w:val="null3"/>
            </w:pPr>
            <w:r>
              <w:rPr>
                <w:rFonts w:ascii="仿宋_GB2312" w:hAnsi="仿宋_GB2312" w:cs="仿宋_GB2312" w:eastAsia="仿宋_GB2312"/>
              </w:rPr>
              <w:t>提供供应商2024年9月至今任意三个月完税证明及社保缴纳凭证（须含养老），依法免税或至投标截止时间成立不足一月的提供相关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完税及社保缴纳证明.docx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w:t>
            </w:r>
          </w:p>
        </w:tc>
        <w:tc>
          <w:tcPr>
            <w:tcW w:type="dxa" w:w="1661"/>
          </w:tcPr>
          <w:p>
            <w:pPr>
              <w:pStyle w:val="null3"/>
            </w:pPr>
            <w:r>
              <w:rPr>
                <w:rFonts w:ascii="仿宋_GB2312" w:hAnsi="仿宋_GB2312" w:cs="仿宋_GB2312" w:eastAsia="仿宋_GB2312"/>
              </w:rPr>
              <w:t>供应商信用查询.docx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无重大违法违规记录等的声明</w:t>
            </w:r>
          </w:p>
        </w:tc>
        <w:tc>
          <w:tcPr>
            <w:tcW w:type="dxa" w:w="3322"/>
          </w:tcPr>
          <w:p>
            <w:pPr>
              <w:pStyle w:val="null3"/>
            </w:pPr>
            <w:r>
              <w:rPr>
                <w:rFonts w:ascii="仿宋_GB2312" w:hAnsi="仿宋_GB2312" w:cs="仿宋_GB2312" w:eastAsia="仿宋_GB2312"/>
              </w:rPr>
              <w:t>供应商参加本政府采购活动前三年内（2022年9月至提交投标文件截止时间止）在经营活动中无重大违法违规记录、无重大行政处罚、无重大安全事故的书面声明；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缴纳投标保证金；</w:t>
            </w:r>
          </w:p>
        </w:tc>
        <w:tc>
          <w:tcPr>
            <w:tcW w:type="dxa" w:w="1661"/>
          </w:tcPr>
          <w:p>
            <w:pPr>
              <w:pStyle w:val="null3"/>
            </w:pPr>
            <w:r>
              <w:rPr>
                <w:rFonts w:ascii="仿宋_GB2312" w:hAnsi="仿宋_GB2312" w:cs="仿宋_GB2312" w:eastAsia="仿宋_GB2312"/>
              </w:rPr>
              <w:t>投标保函格式.docx 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禁止投标情形</w:t>
            </w:r>
          </w:p>
        </w:tc>
        <w:tc>
          <w:tcPr>
            <w:tcW w:type="dxa" w:w="3322"/>
          </w:tcPr>
          <w:p>
            <w:pPr>
              <w:pStyle w:val="null3"/>
            </w:pPr>
            <w:r>
              <w:rPr>
                <w:rFonts w:ascii="仿宋_GB2312" w:hAnsi="仿宋_GB2312" w:cs="仿宋_GB2312" w:eastAsia="仿宋_GB2312"/>
              </w:rPr>
              <w:t>禁止投标情形：①法定代表人或负责人为同一人或存在直接控股、管理关系的不同单位，不得同时参加本项目投标；②与采购人存在利害关系的单位不得参加本项目投标；③法律法规规定的其他禁止投标情形；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禁止投标情形承诺书.docx 法定代表人关联关系声明.docx 供应商关联关系声明.docx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投标总报价唯一且未超过项目预算。</w:t>
            </w:r>
          </w:p>
        </w:tc>
        <w:tc>
          <w:tcPr>
            <w:tcW w:type="dxa" w:w="1661"/>
          </w:tcPr>
          <w:p>
            <w:pPr>
              <w:pStyle w:val="null3"/>
            </w:pPr>
            <w:r>
              <w:rPr>
                <w:rFonts w:ascii="仿宋_GB2312" w:hAnsi="仿宋_GB2312" w:cs="仿宋_GB2312" w:eastAsia="仿宋_GB2312"/>
              </w:rPr>
              <w:t>开标一览表 标的清单 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明细报价表.docx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投标承诺.docx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依据技术（服务）响应偏离表1、（1.5分）软件响应①检察院检察OA系统开发服务②数据库③操作系统，共三项，每项完全响应采购要求得0.5分，对应项下内容一条不响应/不满足该项不得分。 2、（2.5分）硬件响应（GPU、服务器）：依据技术（服务）响应表，产品参数全部响应得2.5分，每种产品有一项负偏离扣0.1分，2.5分扣完为止。（须提供产品参数佐证资料，包含但不仅限于产品参数彩页、检测报告、官网参数功能截图等；相关服务提供厂家承诺，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技术响应佐证资料.docx</w:t>
            </w:r>
          </w:p>
          <w:p>
            <w:pPr>
              <w:pStyle w:val="null3"/>
            </w:pPr>
            <w:r>
              <w:rPr>
                <w:rFonts w:ascii="仿宋_GB2312" w:hAnsi="仿宋_GB2312" w:cs="仿宋_GB2312" w:eastAsia="仿宋_GB2312"/>
              </w:rPr>
              <w:t>技术（服务）响应偏离表.docx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本项目特点，包括但不限于：①需求调研②现状剖析③建设思路④整体架构⑤方案设计⑥方案调整⑦系统开发⑧对接思路⑨系统部署等，每分项得【0,1】分，各分项根据方案的针对性、有效性进行赋分（赋分规则：①针对性【0，0.5】分；②有效性【0，0.5】分）。 注：1.针对性：紧扣主体及项目场景，匹配项目实情；2.有效性：方案可落地、可执行，能预期达到目标。（以下同）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供应商提供本项目安装调试方案，包含但不仅限于①硬件安装②系统测试③性能测试④缺陷处理⑤技术升级等五项，每分项得【0,1】分，各分项根据方案的针对性、有效性进行赋分（赋分规则：①针对性【0，0.5】分；②有效性【0，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1.（2分）提供详细的人员组织架构图：组织架构图清晰、合理实用得2分，否则得0分。 2.（10分）提供团队名册：包括人员基本信息、相关专业资格证书、同类项目经验、职责岗位等（提供人员身份证、专业资格证书、社保或与投标企业的劳动合同）：至少含需求调研人员、开发人员、安装调试人员、技术培训、维保人员，每一人得2分，共10分（人员不重复）。 3.（3分）项目经理（提供身份证、司法类似项目管理经验证明、社保缴纳记录或劳动合同等）：具有5年及以上司法系统类似项目管理经验得3分，具有5年以下司法系统类似项目管理经验得1分，其余不得分。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风险识别及控制</w:t>
            </w:r>
          </w:p>
        </w:tc>
        <w:tc>
          <w:tcPr>
            <w:tcW w:type="dxa" w:w="2492"/>
          </w:tcPr>
          <w:p>
            <w:pPr>
              <w:pStyle w:val="null3"/>
            </w:pPr>
            <w:r>
              <w:rPr>
                <w:rFonts w:ascii="仿宋_GB2312" w:hAnsi="仿宋_GB2312" w:cs="仿宋_GB2312" w:eastAsia="仿宋_GB2312"/>
              </w:rPr>
              <w:t>识别出至少3个主要/关键项目风险点，并针对每个风险点提出具体可行的应对措施：针对风险点的重要性及对应措施的科学有效性，每项得【0，1】分。提出的风险点非关键点或对应措施空洞无效得0分。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风险识别及控制.docx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1.（2分）提供进度计划图，图表清晰，阶段完整且时间合理得2分，否则得0分。 2.（3分）对①需求调研②方案设计③方案审查④系统开发⑤系统测试⑥用户培训等主要阶段制定详细的进度保障措施，每分项得【0,0.5】分，各分项根据方案的针对性、有效性进行赋分（赋分规则：①针对性【0，0.2】分；②有效性【0，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进度保障.docx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1.合法来源（3分）：提供OA系统、数据库、操作系统的合法来源证明（包含但不仅限于原厂授权/自主开发的提供声明函）提供齐全得3分，一项未提供扣1分； 3.硬件（4分）：提供GPU、服务器的合法来源证明资料（包含但不仅限于厂家授权、购买凭证等），合法来源证明每种产品得1分，共2分；提供制造商出具的原厂维保至少两年的证明得每种产品得1分，共2分。 4.所有权（4分）：提供供应商/制造商OA系统、操作系统的中华人民共和国国家版权局颁发的计算机软件著作权证书或产品登记证书一份得2分，最高得4分。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运维（售后）服务方案</w:t>
            </w:r>
          </w:p>
        </w:tc>
        <w:tc>
          <w:tcPr>
            <w:tcW w:type="dxa" w:w="2492"/>
          </w:tcPr>
          <w:p>
            <w:pPr>
              <w:pStyle w:val="null3"/>
            </w:pPr>
            <w:r>
              <w:rPr>
                <w:rFonts w:ascii="仿宋_GB2312" w:hAnsi="仿宋_GB2312" w:cs="仿宋_GB2312" w:eastAsia="仿宋_GB2312"/>
              </w:rPr>
              <w:t>提供系统运维服务计划至少包含①系统监控②数据备份与恢复③日常巡检④深度巡检⑤巡检记录⑥系统性能和安全优化⑦应急处置⑧故障预防、上报、处理等计划，每分项得【0,2】分，各分项根据方案的针对性、有效性进行赋分（赋分规则：①针对性【0，1】分；②有效性【0，1】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运维（售后）服务方案.docx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提供不少于2次/年的免费技术培训方案，涵盖①培训大纲②教材目录③培训方法④系统操作⑤日常维护⑥故障排查等培训内容。每分项得【0,1】分，各分项根据方案的针对性、有效性进行赋分（赋分规则：①针对性【0，0.5】分；②有效性【0，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至今）的类似业绩（时间以合同签订时间为准。要求：至少包含合同标的物页面，双方签字盖章页等，并在合同每页加盖供应商单位公章。若无法辨别，则不计分）每个计2分，最多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业绩佐证.docx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明细报价表.docx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符合政府采购优惠条件，投标报价优惠10%，以优惠后的价格计算评标基准价和投标报价，价格优惠比例对小型企业和微型企业同等对待，不作区分。</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详见附件：安装调试方案.docx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详见附件：财务报表或资信证明.docx</w:t>
      </w:r>
    </w:p>
    <w:p>
      <w:pPr>
        <w:pStyle w:val="null3"/>
        <w:ind w:firstLine="960"/>
      </w:pPr>
      <w:r>
        <w:rPr>
          <w:rFonts w:ascii="仿宋_GB2312" w:hAnsi="仿宋_GB2312" w:cs="仿宋_GB2312" w:eastAsia="仿宋_GB2312"/>
        </w:rPr>
        <w:t>详见附件：法定代表人关联关系声明.docx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详见附件：法定代表人资格证明.docx</w:t>
      </w:r>
    </w:p>
    <w:p>
      <w:pPr>
        <w:pStyle w:val="null3"/>
        <w:ind w:firstLine="960"/>
      </w:pPr>
      <w:r>
        <w:rPr>
          <w:rFonts w:ascii="仿宋_GB2312" w:hAnsi="仿宋_GB2312" w:cs="仿宋_GB2312" w:eastAsia="仿宋_GB2312"/>
        </w:rPr>
        <w:t>详见附件：风险识别及控制.docx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详见附件：供应商信用查询.docx</w:t>
      </w:r>
    </w:p>
    <w:p>
      <w:pPr>
        <w:pStyle w:val="null3"/>
        <w:ind w:firstLine="960"/>
      </w:pPr>
      <w:r>
        <w:rPr>
          <w:rFonts w:ascii="仿宋_GB2312" w:hAnsi="仿宋_GB2312" w:cs="仿宋_GB2312" w:eastAsia="仿宋_GB2312"/>
        </w:rPr>
        <w:t>详见附件：技术响应佐证资料.docx</w:t>
      </w:r>
    </w:p>
    <w:p>
      <w:pPr>
        <w:pStyle w:val="null3"/>
        <w:ind w:firstLine="960"/>
      </w:pPr>
      <w:r>
        <w:rPr>
          <w:rFonts w:ascii="仿宋_GB2312" w:hAnsi="仿宋_GB2312" w:cs="仿宋_GB2312" w:eastAsia="仿宋_GB2312"/>
        </w:rPr>
        <w:t>详见附件：进度保障.docx</w:t>
      </w:r>
    </w:p>
    <w:p>
      <w:pPr>
        <w:pStyle w:val="null3"/>
        <w:ind w:firstLine="960"/>
      </w:pPr>
      <w:r>
        <w:rPr>
          <w:rFonts w:ascii="仿宋_GB2312" w:hAnsi="仿宋_GB2312" w:cs="仿宋_GB2312" w:eastAsia="仿宋_GB2312"/>
        </w:rPr>
        <w:t>详见附件：禁止投标情形承诺书.docx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详见附件：明细报价表.docx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详见附件：技术培训.docx</w:t>
      </w:r>
    </w:p>
    <w:p>
      <w:pPr>
        <w:pStyle w:val="null3"/>
        <w:ind w:firstLine="960"/>
      </w:pPr>
      <w:r>
        <w:rPr>
          <w:rFonts w:ascii="仿宋_GB2312" w:hAnsi="仿宋_GB2312" w:cs="仿宋_GB2312" w:eastAsia="仿宋_GB2312"/>
        </w:rPr>
        <w:t>详见附件：投标保函格式.docx</w:t>
      </w:r>
    </w:p>
    <w:p>
      <w:pPr>
        <w:pStyle w:val="null3"/>
        <w:ind w:firstLine="960"/>
      </w:pPr>
      <w:r>
        <w:rPr>
          <w:rFonts w:ascii="仿宋_GB2312" w:hAnsi="仿宋_GB2312" w:cs="仿宋_GB2312" w:eastAsia="仿宋_GB2312"/>
        </w:rPr>
        <w:t>详见附件：投标承诺.docx</w:t>
      </w:r>
    </w:p>
    <w:p>
      <w:pPr>
        <w:pStyle w:val="null3"/>
        <w:ind w:firstLine="960"/>
      </w:pPr>
      <w:r>
        <w:rPr>
          <w:rFonts w:ascii="仿宋_GB2312" w:hAnsi="仿宋_GB2312" w:cs="仿宋_GB2312" w:eastAsia="仿宋_GB2312"/>
        </w:rPr>
        <w:t>详见附件：完税及社保缴纳证明.docx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详见附件：业绩佐证.docx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详见附件：运维（售后）服务方案.docx</w:t>
      </w:r>
    </w:p>
    <w:p>
      <w:pPr>
        <w:pStyle w:val="null3"/>
        <w:ind w:firstLine="960"/>
      </w:pPr>
      <w:r>
        <w:rPr>
          <w:rFonts w:ascii="仿宋_GB2312" w:hAnsi="仿宋_GB2312" w:cs="仿宋_GB2312" w:eastAsia="仿宋_GB2312"/>
        </w:rPr>
        <w:t>详见附件：政府采购法第二十二条承诺.docx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