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版本号：ZCSP-渭南市-2025-00677（LR2025-ZC0603）20250805001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“渭水泱泱大潮滂滂”首届渭河流域生态保护和高质量发展主题宣传活动</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ZCSP-渭南市-2025-00677（LR2025-ZC0603）</w:t>
      </w:r>
      <w:r>
        <w:br/>
      </w:r>
      <w:r>
        <w:br/>
      </w:r>
      <w:r>
        <w:br/>
      </w:r>
    </w:p>
    <w:p>
      <w:pPr>
        <w:pStyle w:val="null3"/>
        <w:jc w:val="center"/>
        <w:outlineLvl w:val="5"/>
      </w:pPr>
      <w:r>
        <w:rPr>
          <w:rFonts w:ascii="仿宋_GB2312" w:hAnsi="仿宋_GB2312" w:cs="仿宋_GB2312" w:eastAsia="仿宋_GB2312"/>
          <w:sz w:val="15"/>
          <w:b/>
        </w:rPr>
        <w:t>中共渭南市委宣传部</w:t>
      </w:r>
    </w:p>
    <w:p>
      <w:pPr>
        <w:pStyle w:val="null3"/>
        <w:jc w:val="center"/>
        <w:outlineLvl w:val="5"/>
      </w:pPr>
      <w:r>
        <w:rPr>
          <w:rFonts w:ascii="仿宋_GB2312" w:hAnsi="仿宋_GB2312" w:cs="仿宋_GB2312" w:eastAsia="仿宋_GB2312"/>
          <w:sz w:val="15"/>
          <w:b/>
        </w:rPr>
        <w:t>陕西里仁项目管理有限公司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2025年08月05日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陕西里仁项目管理有限公司</w:t>
      </w:r>
      <w:r>
        <w:rPr>
          <w:rFonts w:ascii="仿宋_GB2312" w:hAnsi="仿宋_GB2312" w:cs="仿宋_GB2312" w:eastAsia="仿宋_GB2312"/>
        </w:rPr>
        <w:t>（以下简称“代理机构”）受</w:t>
      </w:r>
      <w:r>
        <w:rPr>
          <w:rFonts w:ascii="仿宋_GB2312" w:hAnsi="仿宋_GB2312" w:cs="仿宋_GB2312" w:eastAsia="仿宋_GB2312"/>
        </w:rPr>
        <w:t>中共渭南市委宣传部</w:t>
      </w:r>
      <w:r>
        <w:rPr>
          <w:rFonts w:ascii="仿宋_GB2312" w:hAnsi="仿宋_GB2312" w:cs="仿宋_GB2312" w:eastAsia="仿宋_GB2312"/>
        </w:rPr>
        <w:t>委托，拟对</w:t>
      </w:r>
      <w:r>
        <w:rPr>
          <w:rFonts w:ascii="仿宋_GB2312" w:hAnsi="仿宋_GB2312" w:cs="仿宋_GB2312" w:eastAsia="仿宋_GB2312"/>
        </w:rPr>
        <w:t>“渭水泱泱大潮滂滂”首届渭河流域生态保护和高质量发展主题宣传活动</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ZCSP-渭南市-2025-00677（LR2025-ZC0603）</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“渭水泱泱大潮滂滂”首届渭河流域生态保护和高质量发展主题宣传活动</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通过实地采访、渭河主题摄影展、专题片、短视频等多种形式宣传,全方位展示渭河渭南段的治理成效，展示渭南作为渭河下游城市的人文历史、自然生态、经济发展等方面的成果。</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采购包1（“渭水泱泱大潮滂滂”首届渭河流域生态保护和高质量发展主题宣传活动）：属于专门面向中小企业采购。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有效的证照：具有独立承担民事责任能力的法人、其他组织或自然人，提供合法有效的统一社会信用代码营业执照（事业单位法人证书/专业服务机构执业许可证/民办非企业单位登记证书，自然人提供身份证）；供应商需在项目电子化交易系统中按要求上传相应证明文件并进行电子签章。</w:t>
      </w:r>
    </w:p>
    <w:p>
      <w:pPr>
        <w:pStyle w:val="null3"/>
      </w:pPr>
      <w:r>
        <w:rPr>
          <w:rFonts w:ascii="仿宋_GB2312" w:hAnsi="仿宋_GB2312" w:cs="仿宋_GB2312" w:eastAsia="仿宋_GB2312"/>
        </w:rPr>
        <w:t>2、财务状况报告：提供经会计师事务所审计的完整的2024年度审计报告（审计报告至少包含三表一注），或提交2025年2月1日以来基本账户开户银行出具的资信证明；其他组织和自然人提供银行出具的资信证明；附开户许可证或开户备案证明或基本账户信息；供应商需在项目电子化交易系统中按要求上传相应证明文件并进行电子签章。</w:t>
      </w:r>
    </w:p>
    <w:p>
      <w:pPr>
        <w:pStyle w:val="null3"/>
      </w:pPr>
      <w:r>
        <w:rPr>
          <w:rFonts w:ascii="仿宋_GB2312" w:hAnsi="仿宋_GB2312" w:cs="仿宋_GB2312" w:eastAsia="仿宋_GB2312"/>
        </w:rPr>
        <w:t>3、税收缴纳证明：提供2024年9月1日以来至少一个月的依法缴纳税收的相关凭据（时间以税款所属日期为准、税种须包含增值税或企业所得税），凭据应有税务机关或代收机关的公章或业务专用章；其他组织和自然人提供2024年9月1日以来至少一个月缴纳税收的相关凭据；供应商需在项目电子化交易系统中按要求上传相应证明文件并进行电子签章。</w:t>
      </w:r>
    </w:p>
    <w:p>
      <w:pPr>
        <w:pStyle w:val="null3"/>
      </w:pPr>
      <w:r>
        <w:rPr>
          <w:rFonts w:ascii="仿宋_GB2312" w:hAnsi="仿宋_GB2312" w:cs="仿宋_GB2312" w:eastAsia="仿宋_GB2312"/>
        </w:rPr>
        <w:t>4、社会保障资金缴存证明：提供2024年9月1日以来至少一个月已缴纳的社会保障资金的证明（社会保障资金职工基本养老保险等缴存单据或社保机构开具的社会保险参保缴费情况证明等）；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供应商需在项目电子化交易系统中按要求上传相应证明文件并进行电子签章。</w:t>
      </w:r>
    </w:p>
    <w:p>
      <w:pPr>
        <w:pStyle w:val="null3"/>
      </w:pPr>
      <w:r>
        <w:rPr>
          <w:rFonts w:ascii="仿宋_GB2312" w:hAnsi="仿宋_GB2312" w:cs="仿宋_GB2312" w:eastAsia="仿宋_GB2312"/>
        </w:rPr>
        <w:t>6、承诺函：提供具有履行合同所必需的设备和专业技术能力的承诺函；供应商需在项目电子化交易系统中按要求上传相应证明文件并进行电子签章。</w:t>
      </w:r>
    </w:p>
    <w:p>
      <w:pPr>
        <w:pStyle w:val="null3"/>
      </w:pPr>
      <w:r>
        <w:rPr>
          <w:rFonts w:ascii="仿宋_GB2312" w:hAnsi="仿宋_GB2312" w:cs="仿宋_GB2312" w:eastAsia="仿宋_GB2312"/>
        </w:rPr>
        <w:t>7、协商授权委托：法定代表人参加协商的，应出具法定代表人证明书及法定代表人身份证明，且应与营业执照上信息一致；法定代表人授权他人参加协商的，应出具法定代表人证明书、法定代表人授权书及被授权人身份证明；供应商需在项目电子化交易系统中按要求上传相应证明文件并进行电子签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中共渭南市委宣传部</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渭南市临渭区朝阳大街21号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714024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任振东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0913-2126234</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陕西里仁项目管理有限公司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西安市高新区高新路31号凯创国际2幢1002室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029-68926580</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采购包1：380,000.00元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采购包1：380,000.00元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采购包1保证金金额：7,600.00元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开户名称：陕西里仁项目管理有限公司</w:t>
            </w:r>
          </w:p>
          <w:p>
            <w:pPr>
              <w:pStyle w:val="null3"/>
            </w:pPr>
            <w:r>
              <w:rPr>
                <w:rFonts w:ascii="仿宋_GB2312" w:hAnsi="仿宋_GB2312" w:cs="仿宋_GB2312" w:eastAsia="仿宋_GB2312"/>
              </w:rPr>
              <w:t>开户银行：招商银行股份有限公司西安城南支行</w:t>
            </w:r>
          </w:p>
          <w:p>
            <w:pPr>
              <w:pStyle w:val="null3"/>
            </w:pPr>
            <w:r>
              <w:rPr>
                <w:rFonts w:ascii="仿宋_GB2312" w:hAnsi="仿宋_GB2312" w:cs="仿宋_GB2312" w:eastAsia="仿宋_GB2312"/>
              </w:rPr>
              <w:t>银行账号：129909983110902</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代理服务费收费标准：1、参考国家计委颁布的《招标代理服务收费管理暂行办法》(计价格[2002]1980 号)和(发改办价格[2003]857 号)收费标准（含税），以成交公告公布的金额为准。 2、支付方式：成交供应商应在领取通知书的同时，支付本项目代理服务费。收款账户如下：收款单位：陕西里仁项目管理有限公司 开户银行：招商银行股份有限公司西安城南支行 银行账号：129909983110902 3、转账时备注：代理服务费。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中共渭南市委宣传部</w:t>
      </w:r>
      <w:r>
        <w:rPr>
          <w:rFonts w:ascii="仿宋_GB2312" w:hAnsi="仿宋_GB2312" w:cs="仿宋_GB2312" w:eastAsia="仿宋_GB2312"/>
        </w:rPr>
        <w:t>和</w:t>
      </w:r>
      <w:r>
        <w:rPr>
          <w:rFonts w:ascii="仿宋_GB2312" w:hAnsi="仿宋_GB2312" w:cs="仿宋_GB2312" w:eastAsia="仿宋_GB2312"/>
        </w:rPr>
        <w:t>陕西里仁项目管理有限公司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陕西里仁项目管理有限公司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中共渭南市委宣传部</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陕西里仁项目管理有限公司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符合国家标准、行业标准以及有关技术规范要求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陕西里仁项目管理有限公司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陕西里仁项目管理有限公司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陕西里仁项目管理有限公司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通过实地采访、渭河主题摄影展、专题片、短视频等多种形式宣传,全方位展示渭河渭南段的治理成效，展示渭南作为渭河下游城市的人文历史、自然生态、经济发展等方面的成果。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380,000.00</w:t>
      </w:r>
    </w:p>
    <w:p>
      <w:pPr>
        <w:pStyle w:val="null3"/>
      </w:pPr>
      <w:r>
        <w:rPr>
          <w:rFonts w:ascii="仿宋_GB2312" w:hAnsi="仿宋_GB2312" w:cs="仿宋_GB2312" w:eastAsia="仿宋_GB2312"/>
        </w:rPr>
        <w:t>采购包最高限价（元）: 380,000.00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“渭水泱泱大潮滂滂”首届渭河流域生态保护和高质量发展主题宣传活动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标的名称：“渭水泱泱大潮滂滂”首届渭河流域生态保护和高质量发展主题宣传活动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一、采购需求</w:t>
            </w:r>
          </w:p>
          <w:p>
            <w:pPr>
              <w:pStyle w:val="null3"/>
              <w:jc w:val="both"/>
            </w:pPr>
            <w:r>
              <w:rPr>
                <w:rFonts w:ascii="仿宋_GB2312" w:hAnsi="仿宋_GB2312" w:cs="仿宋_GB2312" w:eastAsia="仿宋_GB2312"/>
                <w:b/>
              </w:rPr>
              <w:t>1、项目概况：</w:t>
            </w:r>
          </w:p>
          <w:p>
            <w:pPr>
              <w:pStyle w:val="null3"/>
              <w:ind w:firstLine="400"/>
              <w:jc w:val="both"/>
            </w:pPr>
            <w:r>
              <w:rPr>
                <w:rFonts w:ascii="仿宋_GB2312" w:hAnsi="仿宋_GB2312" w:cs="仿宋_GB2312" w:eastAsia="仿宋_GB2312"/>
              </w:rPr>
              <w:t>本次活动为深入贯彻落实党的</w:t>
            </w:r>
            <w:r>
              <w:rPr>
                <w:rFonts w:ascii="仿宋_GB2312" w:hAnsi="仿宋_GB2312" w:cs="仿宋_GB2312" w:eastAsia="仿宋_GB2312"/>
              </w:rPr>
              <w:t>重要会议</w:t>
            </w:r>
            <w:r>
              <w:rPr>
                <w:rFonts w:ascii="仿宋_GB2312" w:hAnsi="仿宋_GB2312" w:cs="仿宋_GB2312" w:eastAsia="仿宋_GB2312"/>
              </w:rPr>
              <w:t>精神和总书记在全面推动黄河流域生态保护和高质量发展座谈会上的重要讲话精神，充分挖掘渭河流域历史传承，讲述渭河文化，集中宣传展示陕甘两地持续推进渭河流域高标准生态建设，协同推进渭河流域生态治理与品质提升，以生态环境保护推动两地经济社会发展的生动实践。</w:t>
            </w:r>
          </w:p>
          <w:p>
            <w:pPr>
              <w:pStyle w:val="null3"/>
              <w:ind w:firstLine="400"/>
              <w:jc w:val="both"/>
            </w:pPr>
            <w:r>
              <w:rPr>
                <w:rFonts w:ascii="仿宋_GB2312" w:hAnsi="仿宋_GB2312" w:cs="仿宋_GB2312" w:eastAsia="仿宋_GB2312"/>
              </w:rPr>
              <w:t>本次活动将凝聚社会各界共识，弘扬渭河文化、凸显渭河流域文化历史价值，普及生态保护理念，展示流域治理成效，推动形成全社会共同参与、协同推进的流域保护新格局，为建设美丽渭河、实现高质量发展注入强劲动力。</w:t>
            </w:r>
          </w:p>
          <w:p>
            <w:pPr>
              <w:pStyle w:val="null3"/>
              <w:jc w:val="both"/>
            </w:pPr>
            <w:r>
              <w:rPr>
                <w:rFonts w:ascii="仿宋_GB2312" w:hAnsi="仿宋_GB2312" w:cs="仿宋_GB2312" w:eastAsia="仿宋_GB2312"/>
                <w:b/>
              </w:rPr>
              <w:t>2、服务内容：</w:t>
            </w:r>
          </w:p>
          <w:p>
            <w:pPr>
              <w:pStyle w:val="null3"/>
              <w:jc w:val="both"/>
            </w:pPr>
            <w:r>
              <w:rPr>
                <w:rFonts w:ascii="仿宋_GB2312" w:hAnsi="仿宋_GB2312" w:cs="仿宋_GB2312" w:eastAsia="仿宋_GB2312"/>
                <w:b/>
              </w:rPr>
              <w:t>2.1 活动时间</w:t>
            </w:r>
            <w:r>
              <w:rPr>
                <w:rFonts w:ascii="仿宋_GB2312" w:hAnsi="仿宋_GB2312" w:cs="仿宋_GB2312" w:eastAsia="仿宋_GB2312"/>
              </w:rPr>
              <w:t>：拟定</w:t>
            </w:r>
            <w:r>
              <w:rPr>
                <w:rFonts w:ascii="仿宋_GB2312" w:hAnsi="仿宋_GB2312" w:cs="仿宋_GB2312" w:eastAsia="仿宋_GB2312"/>
              </w:rPr>
              <w:t>2025年9月至11月</w:t>
            </w:r>
          </w:p>
          <w:p>
            <w:pPr>
              <w:pStyle w:val="null3"/>
              <w:jc w:val="both"/>
            </w:pPr>
            <w:r>
              <w:rPr>
                <w:rFonts w:ascii="仿宋_GB2312" w:hAnsi="仿宋_GB2312" w:cs="仿宋_GB2312" w:eastAsia="仿宋_GB2312"/>
                <w:b/>
              </w:rPr>
              <w:t>2.2 活动参与媒体</w:t>
            </w:r>
          </w:p>
          <w:p>
            <w:pPr>
              <w:pStyle w:val="null3"/>
              <w:ind w:firstLine="400"/>
              <w:jc w:val="both"/>
            </w:pPr>
            <w:r>
              <w:rPr>
                <w:rFonts w:ascii="仿宋_GB2312" w:hAnsi="仿宋_GB2312" w:cs="仿宋_GB2312" w:eastAsia="仿宋_GB2312"/>
              </w:rPr>
              <w:t>中央主流网络媒体，陕甘两省的省级和有关地市重点网络媒体，重点商业媒体。</w:t>
            </w:r>
          </w:p>
          <w:p>
            <w:pPr>
              <w:pStyle w:val="null3"/>
              <w:jc w:val="both"/>
            </w:pPr>
            <w:r>
              <w:rPr>
                <w:rFonts w:ascii="仿宋_GB2312" w:hAnsi="仿宋_GB2312" w:cs="仿宋_GB2312" w:eastAsia="仿宋_GB2312"/>
                <w:b/>
              </w:rPr>
              <w:t>2.3 活动实施</w:t>
            </w:r>
          </w:p>
          <w:p>
            <w:pPr>
              <w:pStyle w:val="null3"/>
              <w:jc w:val="both"/>
            </w:pPr>
            <w:r>
              <w:rPr>
                <w:rFonts w:ascii="仿宋_GB2312" w:hAnsi="仿宋_GB2312" w:cs="仿宋_GB2312" w:eastAsia="仿宋_GB2312"/>
                <w:b/>
              </w:rPr>
              <w:t>2.3.1 主题采访</w:t>
            </w:r>
          </w:p>
          <w:p>
            <w:pPr>
              <w:pStyle w:val="null3"/>
              <w:ind w:firstLine="400"/>
              <w:jc w:val="both"/>
            </w:pPr>
            <w:r>
              <w:rPr>
                <w:rFonts w:ascii="仿宋_GB2312" w:hAnsi="仿宋_GB2312" w:cs="仿宋_GB2312" w:eastAsia="仿宋_GB2312"/>
              </w:rPr>
              <w:t>中央及陕甘两省主流媒体记者、专家学者组成</w:t>
            </w:r>
            <w:r>
              <w:rPr>
                <w:rFonts w:ascii="仿宋_GB2312" w:hAnsi="仿宋_GB2312" w:cs="仿宋_GB2312" w:eastAsia="仿宋_GB2312"/>
              </w:rPr>
              <w:t>“渭河流域媒体观察报道团”，计划从渭南出发，进行渭河“溯源探访之旅”，全面展示陕甘两省在渭河生态文明建设和渭河流域高质量发展过程中取得的新成就。</w:t>
            </w:r>
          </w:p>
          <w:p>
            <w:pPr>
              <w:pStyle w:val="null3"/>
              <w:jc w:val="both"/>
            </w:pPr>
            <w:r>
              <w:rPr>
                <w:rFonts w:ascii="仿宋_GB2312" w:hAnsi="仿宋_GB2312" w:cs="仿宋_GB2312" w:eastAsia="仿宋_GB2312"/>
              </w:rPr>
              <w:t>2.3.1.1 采访时间：拟定9月（渭南段）</w:t>
            </w:r>
          </w:p>
          <w:p>
            <w:pPr>
              <w:pStyle w:val="null3"/>
              <w:jc w:val="both"/>
            </w:pPr>
            <w:r>
              <w:rPr>
                <w:rFonts w:ascii="仿宋_GB2312" w:hAnsi="仿宋_GB2312" w:cs="仿宋_GB2312" w:eastAsia="仿宋_GB2312"/>
              </w:rPr>
              <w:t>2.3.1.2 参与媒体：中国网、国际在线、中国日报网、中国经济时报、中华网、西部网、陕西网、群众新闻网、丝路文明网、中国甘肃网、每日甘肃网、渭南日报、渭南电视台等媒体。</w:t>
            </w:r>
          </w:p>
          <w:p>
            <w:pPr>
              <w:pStyle w:val="null3"/>
              <w:jc w:val="both"/>
            </w:pPr>
            <w:r>
              <w:rPr>
                <w:rFonts w:ascii="仿宋_GB2312" w:hAnsi="仿宋_GB2312" w:cs="仿宋_GB2312" w:eastAsia="仿宋_GB2312"/>
              </w:rPr>
              <w:t>2.3.1.3 采访团人数：拟定25人左右，其中包括带队领导、媒体记者、中国网融媒体团队、渭南宣传部工作人员等。</w:t>
            </w:r>
          </w:p>
          <w:p>
            <w:pPr>
              <w:pStyle w:val="null3"/>
              <w:jc w:val="both"/>
            </w:pPr>
            <w:r>
              <w:rPr>
                <w:rFonts w:ascii="仿宋_GB2312" w:hAnsi="仿宋_GB2312" w:cs="仿宋_GB2312" w:eastAsia="仿宋_GB2312"/>
              </w:rPr>
              <w:t>2.3.1.4 采访点位及时间（渭南段）</w:t>
            </w:r>
          </w:p>
          <w:p>
            <w:pPr>
              <w:pStyle w:val="null3"/>
              <w:ind w:firstLine="400"/>
              <w:jc w:val="both"/>
            </w:pPr>
            <w:r>
              <w:rPr>
                <w:rFonts w:ascii="仿宋_GB2312" w:hAnsi="仿宋_GB2312" w:cs="仿宋_GB2312" w:eastAsia="仿宋_GB2312"/>
              </w:rPr>
              <w:t>采访点位包括潼关县、华阴市、华州区、渭南市、韩城等，时间及点位具体实施时按实际情况确定。</w:t>
            </w:r>
          </w:p>
          <w:p>
            <w:pPr>
              <w:pStyle w:val="null3"/>
              <w:jc w:val="both"/>
            </w:pPr>
            <w:r>
              <w:rPr>
                <w:rFonts w:ascii="仿宋_GB2312" w:hAnsi="仿宋_GB2312" w:cs="仿宋_GB2312" w:eastAsia="仿宋_GB2312"/>
                <w:b/>
              </w:rPr>
              <w:t>2.3.2 “寻美渭河”摄影大赛</w:t>
            </w:r>
          </w:p>
          <w:p>
            <w:pPr>
              <w:pStyle w:val="null3"/>
              <w:ind w:firstLine="400"/>
              <w:jc w:val="both"/>
            </w:pPr>
            <w:r>
              <w:rPr>
                <w:rFonts w:ascii="仿宋_GB2312" w:hAnsi="仿宋_GB2312" w:cs="仿宋_GB2312" w:eastAsia="仿宋_GB2312"/>
              </w:rPr>
              <w:t>面向全社会征集，围绕渭河流域生态保护与高质量发展主题，拍摄记录渭河的自然风光、历史遗迹、民间文化、幸福渭河、生态治理成效等，优秀作品有机会获得奖项，获奖作品将在中国网</w:t>
            </w:r>
            <w:r>
              <w:rPr>
                <w:rFonts w:ascii="仿宋_GB2312" w:hAnsi="仿宋_GB2312" w:cs="仿宋_GB2312" w:eastAsia="仿宋_GB2312"/>
              </w:rPr>
              <w:t>“渭水泱泱 大潮滂滂”渭河流域生态保护和高质量发展主题宣传活动进行线上专题展览，并在渭南市博物馆进行线下展出。</w:t>
            </w:r>
          </w:p>
          <w:p>
            <w:pPr>
              <w:pStyle w:val="null3"/>
              <w:jc w:val="both"/>
            </w:pPr>
            <w:r>
              <w:rPr>
                <w:rFonts w:ascii="仿宋_GB2312" w:hAnsi="仿宋_GB2312" w:cs="仿宋_GB2312" w:eastAsia="仿宋_GB2312"/>
                <w:b/>
              </w:rPr>
              <w:t>2.3.2.1 活动时间</w:t>
            </w:r>
          </w:p>
          <w:p>
            <w:pPr>
              <w:pStyle w:val="null3"/>
              <w:jc w:val="both"/>
            </w:pPr>
            <w:r>
              <w:rPr>
                <w:rFonts w:ascii="仿宋_GB2312" w:hAnsi="仿宋_GB2312" w:cs="仿宋_GB2312" w:eastAsia="仿宋_GB2312"/>
              </w:rPr>
              <w:t>作品征集时间：本次活动启动之日起同时开启作品征集，征集时间一个月。</w:t>
            </w:r>
          </w:p>
          <w:p>
            <w:pPr>
              <w:pStyle w:val="null3"/>
              <w:jc w:val="both"/>
            </w:pPr>
            <w:r>
              <w:rPr>
                <w:rFonts w:ascii="仿宋_GB2312" w:hAnsi="仿宋_GB2312" w:cs="仿宋_GB2312" w:eastAsia="仿宋_GB2312"/>
              </w:rPr>
              <w:t>作品评审时间：拟定</w:t>
            </w:r>
            <w:r>
              <w:rPr>
                <w:rFonts w:ascii="仿宋_GB2312" w:hAnsi="仿宋_GB2312" w:cs="仿宋_GB2312" w:eastAsia="仿宋_GB2312"/>
              </w:rPr>
              <w:t>9月</w:t>
            </w:r>
          </w:p>
          <w:p>
            <w:pPr>
              <w:pStyle w:val="null3"/>
              <w:jc w:val="both"/>
            </w:pPr>
            <w:r>
              <w:rPr>
                <w:rFonts w:ascii="仿宋_GB2312" w:hAnsi="仿宋_GB2312" w:cs="仿宋_GB2312" w:eastAsia="仿宋_GB2312"/>
              </w:rPr>
              <w:t>展览时间：拟定</w:t>
            </w:r>
            <w:r>
              <w:rPr>
                <w:rFonts w:ascii="仿宋_GB2312" w:hAnsi="仿宋_GB2312" w:cs="仿宋_GB2312" w:eastAsia="仿宋_GB2312"/>
              </w:rPr>
              <w:t>10月</w:t>
            </w:r>
          </w:p>
          <w:p>
            <w:pPr>
              <w:pStyle w:val="null3"/>
              <w:jc w:val="both"/>
            </w:pPr>
            <w:r>
              <w:rPr>
                <w:rFonts w:ascii="仿宋_GB2312" w:hAnsi="仿宋_GB2312" w:cs="仿宋_GB2312" w:eastAsia="仿宋_GB2312"/>
                <w:b/>
              </w:rPr>
              <w:t>2.3.2.2参赛范围</w:t>
            </w:r>
            <w:r>
              <w:rPr>
                <w:rFonts w:ascii="仿宋_GB2312" w:hAnsi="仿宋_GB2312" w:cs="仿宋_GB2312" w:eastAsia="仿宋_GB2312"/>
              </w:rPr>
              <w:t>：</w:t>
            </w:r>
          </w:p>
          <w:p>
            <w:pPr>
              <w:pStyle w:val="null3"/>
              <w:ind w:firstLine="400"/>
              <w:jc w:val="both"/>
            </w:pPr>
            <w:r>
              <w:rPr>
                <w:rFonts w:ascii="仿宋_GB2312" w:hAnsi="仿宋_GB2312" w:cs="仿宋_GB2312" w:eastAsia="仿宋_GB2312"/>
              </w:rPr>
              <w:t>全球范围内的专业摄影师、摄影爱好者、市民及海内外广大网友均可参赛投稿。</w:t>
            </w:r>
          </w:p>
          <w:p>
            <w:pPr>
              <w:pStyle w:val="null3"/>
              <w:jc w:val="both"/>
            </w:pPr>
            <w:r>
              <w:rPr>
                <w:rFonts w:ascii="仿宋_GB2312" w:hAnsi="仿宋_GB2312" w:cs="仿宋_GB2312" w:eastAsia="仿宋_GB2312"/>
                <w:b/>
              </w:rPr>
              <w:t>2.3.2.3 展出地点</w:t>
            </w:r>
            <w:r>
              <w:rPr>
                <w:rFonts w:ascii="仿宋_GB2312" w:hAnsi="仿宋_GB2312" w:cs="仿宋_GB2312" w:eastAsia="仿宋_GB2312"/>
              </w:rPr>
              <w:t>：渭南市博物馆</w:t>
            </w:r>
          </w:p>
          <w:p>
            <w:pPr>
              <w:pStyle w:val="null3"/>
              <w:jc w:val="both"/>
            </w:pPr>
            <w:r>
              <w:rPr>
                <w:rFonts w:ascii="仿宋_GB2312" w:hAnsi="仿宋_GB2312" w:cs="仿宋_GB2312" w:eastAsia="仿宋_GB2312"/>
                <w:b/>
              </w:rPr>
              <w:t>2.3.2.4 活动流程</w:t>
            </w:r>
          </w:p>
          <w:p>
            <w:pPr>
              <w:pStyle w:val="null3"/>
              <w:jc w:val="both"/>
            </w:pPr>
            <w:r>
              <w:rPr>
                <w:rFonts w:ascii="仿宋_GB2312" w:hAnsi="仿宋_GB2312" w:cs="仿宋_GB2312" w:eastAsia="仿宋_GB2312"/>
              </w:rPr>
              <w:t>2.3.2.4.1作品征集</w:t>
            </w:r>
          </w:p>
          <w:p>
            <w:pPr>
              <w:pStyle w:val="null3"/>
              <w:jc w:val="both"/>
            </w:pPr>
            <w:r>
              <w:rPr>
                <w:rFonts w:ascii="仿宋_GB2312" w:hAnsi="仿宋_GB2312" w:cs="仿宋_GB2312" w:eastAsia="仿宋_GB2312"/>
              </w:rPr>
              <w:t>2.3.2.4.1.1 发布征集公告</w:t>
            </w:r>
          </w:p>
          <w:p>
            <w:pPr>
              <w:pStyle w:val="null3"/>
              <w:ind w:firstLine="400"/>
              <w:jc w:val="both"/>
            </w:pPr>
            <w:r>
              <w:rPr>
                <w:rFonts w:ascii="仿宋_GB2312" w:hAnsi="仿宋_GB2312" w:cs="仿宋_GB2312" w:eastAsia="仿宋_GB2312"/>
              </w:rPr>
              <w:t>活动启动之日起，发布《</w:t>
            </w:r>
            <w:r>
              <w:rPr>
                <w:rFonts w:ascii="仿宋_GB2312" w:hAnsi="仿宋_GB2312" w:cs="仿宋_GB2312" w:eastAsia="仿宋_GB2312"/>
              </w:rPr>
              <w:t>“寻美渭河” 摄影展作品征集公告》，详细说明参赛要求、投稿方式、时间节点等信息。公告中附上活动宣传海报和短视频，直观展示活动主题与意义。</w:t>
            </w:r>
          </w:p>
          <w:p>
            <w:pPr>
              <w:pStyle w:val="null3"/>
              <w:jc w:val="both"/>
            </w:pPr>
            <w:r>
              <w:rPr>
                <w:rFonts w:ascii="仿宋_GB2312" w:hAnsi="仿宋_GB2312" w:cs="仿宋_GB2312" w:eastAsia="仿宋_GB2312"/>
              </w:rPr>
              <w:t>2.3.2.4.1.2 投稿方式</w:t>
            </w:r>
          </w:p>
          <w:p>
            <w:pPr>
              <w:pStyle w:val="null3"/>
              <w:ind w:firstLine="400"/>
              <w:jc w:val="both"/>
            </w:pPr>
            <w:r>
              <w:rPr>
                <w:rFonts w:ascii="仿宋_GB2312" w:hAnsi="仿宋_GB2312" w:cs="仿宋_GB2312" w:eastAsia="仿宋_GB2312"/>
              </w:rPr>
              <w:t>设立专门的投稿邮箱和线上投稿平台（活动官网投稿入口），作品以</w:t>
            </w:r>
            <w:r>
              <w:rPr>
                <w:rFonts w:ascii="仿宋_GB2312" w:hAnsi="仿宋_GB2312" w:cs="仿宋_GB2312" w:eastAsia="仿宋_GB2312"/>
              </w:rPr>
              <w:t>JPEG 格式，单张照片不小于3M，每位参赛者投稿作品数量不超过 5 幅。</w:t>
            </w:r>
          </w:p>
          <w:p>
            <w:pPr>
              <w:pStyle w:val="null3"/>
              <w:jc w:val="both"/>
            </w:pPr>
            <w:r>
              <w:rPr>
                <w:rFonts w:ascii="仿宋_GB2312" w:hAnsi="仿宋_GB2312" w:cs="仿宋_GB2312" w:eastAsia="仿宋_GB2312"/>
              </w:rPr>
              <w:t>2.3.2.4.1.3 作品筛选</w:t>
            </w:r>
          </w:p>
          <w:p>
            <w:pPr>
              <w:pStyle w:val="null3"/>
              <w:ind w:firstLine="400"/>
              <w:jc w:val="both"/>
            </w:pPr>
            <w:r>
              <w:rPr>
                <w:rFonts w:ascii="仿宋_GB2312" w:hAnsi="仿宋_GB2312" w:cs="仿宋_GB2312" w:eastAsia="仿宋_GB2312"/>
              </w:rPr>
              <w:t>征集期间，初审小组每日对投稿作品进行初步筛选。对于符合基本要求的作品，做好登记并整理归档，确保有效作品进入评审环节。</w:t>
            </w:r>
          </w:p>
          <w:p>
            <w:pPr>
              <w:pStyle w:val="null3"/>
              <w:jc w:val="both"/>
            </w:pPr>
            <w:r>
              <w:rPr>
                <w:rFonts w:ascii="仿宋_GB2312" w:hAnsi="仿宋_GB2312" w:cs="仿宋_GB2312" w:eastAsia="仿宋_GB2312"/>
                <w:b/>
              </w:rPr>
              <w:t>2.3.2.5 作品评审</w:t>
            </w:r>
          </w:p>
          <w:p>
            <w:pPr>
              <w:pStyle w:val="null3"/>
              <w:jc w:val="both"/>
            </w:pPr>
            <w:r>
              <w:rPr>
                <w:rFonts w:ascii="仿宋_GB2312" w:hAnsi="仿宋_GB2312" w:cs="仿宋_GB2312" w:eastAsia="仿宋_GB2312"/>
              </w:rPr>
              <w:t>2.3.2.5.1 组建评审委员会</w:t>
            </w:r>
          </w:p>
          <w:p>
            <w:pPr>
              <w:pStyle w:val="null3"/>
              <w:ind w:firstLine="400"/>
              <w:jc w:val="both"/>
            </w:pPr>
            <w:r>
              <w:rPr>
                <w:rFonts w:ascii="仿宋_GB2312" w:hAnsi="仿宋_GB2312" w:cs="仿宋_GB2312" w:eastAsia="仿宋_GB2312"/>
              </w:rPr>
              <w:t>组建评审委员会，在评审前组织评审会议，共同制定评审标准和流程，确保评审公平、公正、公开。</w:t>
            </w:r>
          </w:p>
          <w:p>
            <w:pPr>
              <w:pStyle w:val="null3"/>
              <w:jc w:val="both"/>
            </w:pPr>
            <w:r>
              <w:rPr>
                <w:rFonts w:ascii="仿宋_GB2312" w:hAnsi="仿宋_GB2312" w:cs="仿宋_GB2312" w:eastAsia="仿宋_GB2312"/>
              </w:rPr>
              <w:t>2.3.2.5.2 评审环节</w:t>
            </w:r>
          </w:p>
          <w:p>
            <w:pPr>
              <w:pStyle w:val="null3"/>
              <w:ind w:firstLine="400"/>
              <w:jc w:val="both"/>
            </w:pPr>
            <w:r>
              <w:rPr>
                <w:rFonts w:ascii="仿宋_GB2312" w:hAnsi="仿宋_GB2312" w:cs="仿宋_GB2312" w:eastAsia="仿宋_GB2312"/>
              </w:rPr>
              <w:t>评审委员会对所有有效作品进行集中评审。</w:t>
            </w:r>
          </w:p>
          <w:p>
            <w:pPr>
              <w:pStyle w:val="null3"/>
              <w:jc w:val="both"/>
            </w:pPr>
            <w:r>
              <w:rPr>
                <w:rFonts w:ascii="仿宋_GB2312" w:hAnsi="仿宋_GB2312" w:cs="仿宋_GB2312" w:eastAsia="仿宋_GB2312"/>
              </w:rPr>
              <w:t>2.3.2.5.3 公布结果</w:t>
            </w:r>
          </w:p>
          <w:p>
            <w:pPr>
              <w:pStyle w:val="null3"/>
              <w:ind w:firstLine="400"/>
              <w:jc w:val="both"/>
            </w:pPr>
            <w:r>
              <w:rPr>
                <w:rFonts w:ascii="仿宋_GB2312" w:hAnsi="仿宋_GB2312" w:cs="仿宋_GB2312" w:eastAsia="仿宋_GB2312"/>
              </w:rPr>
              <w:t>在活动官方渠道公布入选展览的优秀作品名单及作者信息，并通过邮件或电话通知作者。</w:t>
            </w:r>
          </w:p>
          <w:p>
            <w:pPr>
              <w:pStyle w:val="null3"/>
              <w:jc w:val="both"/>
            </w:pPr>
            <w:r>
              <w:rPr>
                <w:rFonts w:ascii="仿宋_GB2312" w:hAnsi="仿宋_GB2312" w:cs="仿宋_GB2312" w:eastAsia="仿宋_GB2312"/>
                <w:b/>
              </w:rPr>
              <w:t>2.3.2.6 展览展示</w:t>
            </w:r>
          </w:p>
          <w:p>
            <w:pPr>
              <w:pStyle w:val="null3"/>
              <w:jc w:val="both"/>
            </w:pPr>
            <w:r>
              <w:rPr>
                <w:rFonts w:ascii="仿宋_GB2312" w:hAnsi="仿宋_GB2312" w:cs="仿宋_GB2312" w:eastAsia="仿宋_GB2312"/>
              </w:rPr>
              <w:t>2.3.2.6.1 展览筹备</w:t>
            </w:r>
          </w:p>
          <w:p>
            <w:pPr>
              <w:pStyle w:val="null3"/>
              <w:ind w:firstLine="400"/>
              <w:jc w:val="both"/>
            </w:pPr>
            <w:r>
              <w:rPr>
                <w:rFonts w:ascii="仿宋_GB2312" w:hAnsi="仿宋_GB2312" w:cs="仿宋_GB2312" w:eastAsia="仿宋_GB2312"/>
              </w:rPr>
              <w:t>大赛评审工作结束后，准备展览开幕式相关事宜，邀请政府领导、专家学者、媒体记者、摄影爱好者等参加开幕式。</w:t>
            </w:r>
          </w:p>
          <w:p>
            <w:pPr>
              <w:pStyle w:val="null3"/>
              <w:jc w:val="both"/>
            </w:pPr>
            <w:r>
              <w:rPr>
                <w:rFonts w:ascii="仿宋_GB2312" w:hAnsi="仿宋_GB2312" w:cs="仿宋_GB2312" w:eastAsia="仿宋_GB2312"/>
              </w:rPr>
              <w:t>2.3.2.6.2 展览展示</w:t>
            </w:r>
          </w:p>
          <w:p>
            <w:pPr>
              <w:pStyle w:val="null3"/>
              <w:ind w:firstLine="400"/>
              <w:jc w:val="both"/>
            </w:pPr>
            <w:r>
              <w:rPr>
                <w:rFonts w:ascii="仿宋_GB2312" w:hAnsi="仿宋_GB2312" w:cs="仿宋_GB2312" w:eastAsia="仿宋_GB2312"/>
              </w:rPr>
              <w:t>线下展：展览在渭南市博物馆开始展出</w:t>
            </w:r>
          </w:p>
          <w:p>
            <w:pPr>
              <w:pStyle w:val="null3"/>
              <w:ind w:firstLine="400"/>
              <w:jc w:val="both"/>
            </w:pPr>
            <w:r>
              <w:rPr>
                <w:rFonts w:ascii="仿宋_GB2312" w:hAnsi="仿宋_GB2312" w:cs="仿宋_GB2312" w:eastAsia="仿宋_GB2312"/>
              </w:rPr>
              <w:t>线上展：同期在</w:t>
            </w:r>
            <w:r>
              <w:rPr>
                <w:rFonts w:ascii="仿宋_GB2312" w:hAnsi="仿宋_GB2312" w:cs="仿宋_GB2312" w:eastAsia="仿宋_GB2312"/>
              </w:rPr>
              <w:t>“渭水泱泱 大潮滂旁”渭河主题活动专题页面开设“寻美渭河”摄影展优秀作品线上展，观众可通过中国网专题页面欣赏优秀作品。</w:t>
            </w:r>
          </w:p>
          <w:p>
            <w:pPr>
              <w:pStyle w:val="null3"/>
              <w:jc w:val="both"/>
            </w:pPr>
            <w:r>
              <w:rPr>
                <w:rFonts w:ascii="仿宋_GB2312" w:hAnsi="仿宋_GB2312" w:cs="仿宋_GB2312" w:eastAsia="仿宋_GB2312"/>
              </w:rPr>
              <w:t>2.3.2.6.3 展览后期</w:t>
            </w:r>
          </w:p>
          <w:p>
            <w:pPr>
              <w:pStyle w:val="null3"/>
              <w:ind w:firstLine="400"/>
              <w:jc w:val="both"/>
            </w:pPr>
            <w:r>
              <w:rPr>
                <w:rFonts w:ascii="仿宋_GB2312" w:hAnsi="仿宋_GB2312" w:cs="仿宋_GB2312" w:eastAsia="仿宋_GB2312"/>
              </w:rPr>
              <w:t>展览结束后，妥善保存展览作品和相关资料。通过线上投票、问卷调查等方式收集参观者对展览的反馈意见，为后续活动提供参考。</w:t>
            </w:r>
          </w:p>
          <w:p>
            <w:pPr>
              <w:pStyle w:val="null3"/>
              <w:jc w:val="both"/>
            </w:pPr>
            <w:r>
              <w:rPr>
                <w:rFonts w:ascii="仿宋_GB2312" w:hAnsi="仿宋_GB2312" w:cs="仿宋_GB2312" w:eastAsia="仿宋_GB2312"/>
              </w:rPr>
              <w:t>2.3.2.7 集结成册</w:t>
            </w:r>
          </w:p>
          <w:p>
            <w:pPr>
              <w:pStyle w:val="null3"/>
              <w:ind w:firstLine="400"/>
              <w:jc w:val="both"/>
            </w:pPr>
            <w:r>
              <w:rPr>
                <w:rFonts w:ascii="仿宋_GB2312" w:hAnsi="仿宋_GB2312" w:cs="仿宋_GB2312" w:eastAsia="仿宋_GB2312"/>
              </w:rPr>
              <w:t>参加展览的所有作品集结成册。</w:t>
            </w:r>
          </w:p>
          <w:p>
            <w:pPr>
              <w:pStyle w:val="null3"/>
              <w:jc w:val="both"/>
            </w:pPr>
            <w:r>
              <w:rPr>
                <w:rFonts w:ascii="仿宋_GB2312" w:hAnsi="仿宋_GB2312" w:cs="仿宋_GB2312" w:eastAsia="仿宋_GB2312"/>
                <w:b/>
              </w:rPr>
              <w:t>2.4 宣传方案</w:t>
            </w:r>
          </w:p>
          <w:p>
            <w:pPr>
              <w:pStyle w:val="null3"/>
              <w:jc w:val="both"/>
            </w:pPr>
            <w:r>
              <w:rPr>
                <w:rFonts w:ascii="仿宋_GB2312" w:hAnsi="仿宋_GB2312" w:cs="仿宋_GB2312" w:eastAsia="仿宋_GB2312"/>
                <w:b/>
              </w:rPr>
              <w:t>2.4.1 前期宣传</w:t>
            </w:r>
          </w:p>
          <w:p>
            <w:pPr>
              <w:pStyle w:val="null3"/>
              <w:ind w:firstLine="400"/>
              <w:jc w:val="both"/>
            </w:pPr>
            <w:r>
              <w:rPr>
                <w:rFonts w:ascii="仿宋_GB2312" w:hAnsi="仿宋_GB2312" w:cs="仿宋_GB2312" w:eastAsia="仿宋_GB2312"/>
              </w:rPr>
              <w:t>在活动正式开始前，通过以下形式进行宣发，形成活动前期的网络热潮。</w:t>
            </w:r>
          </w:p>
          <w:p>
            <w:pPr>
              <w:pStyle w:val="null3"/>
              <w:jc w:val="both"/>
            </w:pPr>
            <w:r>
              <w:rPr>
                <w:rFonts w:ascii="仿宋_GB2312" w:hAnsi="仿宋_GB2312" w:cs="仿宋_GB2312" w:eastAsia="仿宋_GB2312"/>
              </w:rPr>
              <w:t>2.4.1.1 搭建网络专题</w:t>
            </w:r>
          </w:p>
          <w:p>
            <w:pPr>
              <w:pStyle w:val="null3"/>
              <w:jc w:val="both"/>
            </w:pPr>
            <w:r>
              <w:rPr>
                <w:rFonts w:ascii="仿宋_GB2312" w:hAnsi="仿宋_GB2312" w:cs="仿宋_GB2312" w:eastAsia="仿宋_GB2312"/>
              </w:rPr>
              <w:t>2.4.1.2 开通微博话题</w:t>
            </w:r>
          </w:p>
          <w:p>
            <w:pPr>
              <w:pStyle w:val="null3"/>
              <w:jc w:val="both"/>
            </w:pPr>
            <w:r>
              <w:rPr>
                <w:rFonts w:ascii="仿宋_GB2312" w:hAnsi="仿宋_GB2312" w:cs="仿宋_GB2312" w:eastAsia="仿宋_GB2312"/>
              </w:rPr>
              <w:t>2.4.1.3 组织专访稿件</w:t>
            </w:r>
          </w:p>
          <w:p>
            <w:pPr>
              <w:pStyle w:val="null3"/>
              <w:jc w:val="both"/>
            </w:pPr>
            <w:r>
              <w:rPr>
                <w:rFonts w:ascii="仿宋_GB2312" w:hAnsi="仿宋_GB2312" w:cs="仿宋_GB2312" w:eastAsia="仿宋_GB2312"/>
              </w:rPr>
              <w:t>2.4.1.4 推出活动启动倒计时</w:t>
            </w:r>
          </w:p>
          <w:p>
            <w:pPr>
              <w:pStyle w:val="null3"/>
              <w:jc w:val="both"/>
            </w:pPr>
            <w:r>
              <w:rPr>
                <w:rFonts w:ascii="仿宋_GB2312" w:hAnsi="仿宋_GB2312" w:cs="仿宋_GB2312" w:eastAsia="仿宋_GB2312"/>
              </w:rPr>
              <w:t>2.4.1.5 刊发预告消息</w:t>
            </w:r>
          </w:p>
          <w:p>
            <w:pPr>
              <w:pStyle w:val="null3"/>
              <w:jc w:val="both"/>
            </w:pPr>
            <w:r>
              <w:rPr>
                <w:rFonts w:ascii="仿宋_GB2312" w:hAnsi="仿宋_GB2312" w:cs="仿宋_GB2312" w:eastAsia="仿宋_GB2312"/>
              </w:rPr>
              <w:t>2.4.1.6 启动“寻美渭河”优秀摄影作品征集活动</w:t>
            </w:r>
          </w:p>
          <w:p>
            <w:pPr>
              <w:pStyle w:val="null3"/>
              <w:jc w:val="both"/>
            </w:pPr>
            <w:r>
              <w:rPr>
                <w:rFonts w:ascii="仿宋_GB2312" w:hAnsi="仿宋_GB2312" w:cs="仿宋_GB2312" w:eastAsia="仿宋_GB2312"/>
              </w:rPr>
              <w:t>2.4.1.7 推出AI新媒体产品</w:t>
            </w:r>
          </w:p>
          <w:p>
            <w:pPr>
              <w:pStyle w:val="null3"/>
              <w:jc w:val="both"/>
            </w:pPr>
            <w:r>
              <w:rPr>
                <w:rFonts w:ascii="仿宋_GB2312" w:hAnsi="仿宋_GB2312" w:cs="仿宋_GB2312" w:eastAsia="仿宋_GB2312"/>
                <w:b/>
              </w:rPr>
              <w:t>2.4.2 活动报道</w:t>
            </w:r>
          </w:p>
          <w:p>
            <w:pPr>
              <w:pStyle w:val="null3"/>
              <w:ind w:firstLine="400"/>
              <w:jc w:val="both"/>
            </w:pPr>
            <w:r>
              <w:rPr>
                <w:rFonts w:ascii="仿宋_GB2312" w:hAnsi="仿宋_GB2312" w:cs="仿宋_GB2312" w:eastAsia="仿宋_GB2312"/>
              </w:rPr>
              <w:t>采访报道，渭南市作为渭河流域的重要城市，渭河从渭南流入黄河。报道团围绕渭南境内渭河流域生态治理保护、渭河文化、区域经济特色等主题进行调研采访活动。</w:t>
            </w:r>
          </w:p>
          <w:p>
            <w:pPr>
              <w:pStyle w:val="null3"/>
              <w:ind w:firstLine="400"/>
              <w:jc w:val="both"/>
            </w:pPr>
            <w:r>
              <w:rPr>
                <w:rFonts w:ascii="仿宋_GB2312" w:hAnsi="仿宋_GB2312" w:cs="仿宋_GB2312" w:eastAsia="仿宋_GB2312"/>
              </w:rPr>
              <w:t>报道点位如下：</w:t>
            </w:r>
          </w:p>
          <w:p>
            <w:pPr>
              <w:pStyle w:val="null3"/>
              <w:jc w:val="both"/>
            </w:pPr>
            <w:r>
              <w:rPr>
                <w:rFonts w:ascii="仿宋_GB2312" w:hAnsi="仿宋_GB2312" w:cs="仿宋_GB2312" w:eastAsia="仿宋_GB2312"/>
              </w:rPr>
              <w:t>①潼关黄河湿地自然保护区(潼关县）</w:t>
            </w:r>
          </w:p>
          <w:p>
            <w:pPr>
              <w:pStyle w:val="null3"/>
              <w:jc w:val="both"/>
            </w:pPr>
            <w:r>
              <w:rPr>
                <w:rFonts w:ascii="仿宋_GB2312" w:hAnsi="仿宋_GB2312" w:cs="仿宋_GB2312" w:eastAsia="仿宋_GB2312"/>
              </w:rPr>
              <w:t>②潼关古城（潼关县）</w:t>
            </w:r>
          </w:p>
          <w:p>
            <w:pPr>
              <w:pStyle w:val="null3"/>
              <w:jc w:val="both"/>
            </w:pPr>
            <w:r>
              <w:rPr>
                <w:rFonts w:ascii="仿宋_GB2312" w:hAnsi="仿宋_GB2312" w:cs="仿宋_GB2312" w:eastAsia="仿宋_GB2312"/>
              </w:rPr>
              <w:t>③长涧河防倒灌工程（华阴市）</w:t>
            </w:r>
          </w:p>
          <w:p>
            <w:pPr>
              <w:pStyle w:val="null3"/>
              <w:jc w:val="both"/>
            </w:pPr>
            <w:r>
              <w:rPr>
                <w:rFonts w:ascii="仿宋_GB2312" w:hAnsi="仿宋_GB2312" w:cs="仿宋_GB2312" w:eastAsia="仿宋_GB2312"/>
              </w:rPr>
              <w:t>④华阴市污水处理厂</w:t>
            </w:r>
          </w:p>
          <w:p>
            <w:pPr>
              <w:pStyle w:val="null3"/>
              <w:jc w:val="both"/>
            </w:pPr>
            <w:r>
              <w:rPr>
                <w:rFonts w:ascii="仿宋_GB2312" w:hAnsi="仿宋_GB2312" w:cs="仿宋_GB2312" w:eastAsia="仿宋_GB2312"/>
              </w:rPr>
              <w:t>⑤詹刘险工工程（华州区）</w:t>
            </w:r>
          </w:p>
          <w:p>
            <w:pPr>
              <w:pStyle w:val="null3"/>
              <w:jc w:val="both"/>
            </w:pPr>
            <w:r>
              <w:rPr>
                <w:rFonts w:ascii="仿宋_GB2312" w:hAnsi="仿宋_GB2312" w:cs="仿宋_GB2312" w:eastAsia="仿宋_GB2312"/>
              </w:rPr>
              <w:t>⑥华州皮影园</w:t>
            </w:r>
          </w:p>
          <w:p>
            <w:pPr>
              <w:pStyle w:val="null3"/>
              <w:jc w:val="both"/>
            </w:pPr>
            <w:r>
              <w:rPr>
                <w:rFonts w:ascii="仿宋_GB2312" w:hAnsi="仿宋_GB2312" w:cs="仿宋_GB2312" w:eastAsia="仿宋_GB2312"/>
              </w:rPr>
              <w:t>⑦临渭葡萄产业园</w:t>
            </w:r>
          </w:p>
          <w:p>
            <w:pPr>
              <w:pStyle w:val="null3"/>
              <w:jc w:val="both"/>
            </w:pPr>
            <w:r>
              <w:rPr>
                <w:rFonts w:ascii="仿宋_GB2312" w:hAnsi="仿宋_GB2312" w:cs="仿宋_GB2312" w:eastAsia="仿宋_GB2312"/>
              </w:rPr>
              <w:t>⑧渭河渭南段北大堤（渭南城区）</w:t>
            </w:r>
          </w:p>
          <w:p>
            <w:pPr>
              <w:pStyle w:val="null3"/>
              <w:jc w:val="both"/>
            </w:pPr>
            <w:r>
              <w:rPr>
                <w:rFonts w:ascii="仿宋_GB2312" w:hAnsi="仿宋_GB2312" w:cs="仿宋_GB2312" w:eastAsia="仿宋_GB2312"/>
              </w:rPr>
              <w:t>⑨渭南市博物馆</w:t>
            </w:r>
          </w:p>
          <w:p>
            <w:pPr>
              <w:pStyle w:val="null3"/>
              <w:jc w:val="both"/>
            </w:pPr>
            <w:r>
              <w:rPr>
                <w:rFonts w:ascii="仿宋_GB2312" w:hAnsi="仿宋_GB2312" w:cs="仿宋_GB2312" w:eastAsia="仿宋_GB2312"/>
              </w:rPr>
              <w:t>⑩禹门口抽黄改造工程</w:t>
            </w:r>
          </w:p>
          <w:p>
            <w:pPr>
              <w:pStyle w:val="null3"/>
              <w:jc w:val="both"/>
            </w:pPr>
            <w:r>
              <w:rPr>
                <w:rFonts w:ascii="仿宋_GB2312" w:hAnsi="仿宋_GB2312" w:cs="仿宋_GB2312" w:eastAsia="仿宋_GB2312"/>
              </w:rPr>
              <w:t>二、服务期：</w:t>
            </w:r>
            <w:r>
              <w:rPr>
                <w:rFonts w:ascii="仿宋_GB2312" w:hAnsi="仿宋_GB2312" w:cs="仿宋_GB2312" w:eastAsia="仿宋_GB2312"/>
              </w:rPr>
              <w:t>2025年11月30日前完成</w:t>
            </w:r>
          </w:p>
          <w:p>
            <w:pPr>
              <w:pStyle w:val="null3"/>
              <w:jc w:val="both"/>
            </w:pPr>
            <w:r>
              <w:rPr>
                <w:rFonts w:ascii="仿宋_GB2312" w:hAnsi="仿宋_GB2312" w:cs="仿宋_GB2312" w:eastAsia="仿宋_GB2312"/>
              </w:rPr>
              <w:t>三、服务地点：中共渭南市委宣传部项目地点</w:t>
            </w:r>
          </w:p>
          <w:p>
            <w:pPr>
              <w:pStyle w:val="null3"/>
              <w:jc w:val="both"/>
            </w:pPr>
            <w:r>
              <w:rPr>
                <w:rFonts w:ascii="仿宋_GB2312" w:hAnsi="仿宋_GB2312" w:cs="仿宋_GB2312" w:eastAsia="仿宋_GB2312"/>
              </w:rPr>
              <w:t>四、付款方式：</w:t>
            </w:r>
          </w:p>
          <w:p>
            <w:pPr>
              <w:pStyle w:val="null3"/>
              <w:jc w:val="both"/>
            </w:pPr>
            <w:r>
              <w:rPr>
                <w:rFonts w:ascii="仿宋_GB2312" w:hAnsi="仿宋_GB2312" w:cs="仿宋_GB2312" w:eastAsia="仿宋_GB2312"/>
              </w:rPr>
              <w:t>1、付款单位：采购人结算，在付款前，按付款金额开具发票给采购人。</w:t>
            </w:r>
          </w:p>
          <w:p>
            <w:pPr>
              <w:pStyle w:val="null3"/>
              <w:jc w:val="both"/>
            </w:pPr>
            <w:r>
              <w:rPr>
                <w:rFonts w:ascii="仿宋_GB2312" w:hAnsi="仿宋_GB2312" w:cs="仿宋_GB2312" w:eastAsia="仿宋_GB2312"/>
              </w:rPr>
              <w:t>2、付款方式：</w:t>
            </w:r>
          </w:p>
          <w:p>
            <w:pPr>
              <w:pStyle w:val="null3"/>
              <w:jc w:val="both"/>
            </w:pPr>
            <w:r>
              <w:rPr>
                <w:rFonts w:ascii="仿宋_GB2312" w:hAnsi="仿宋_GB2312" w:cs="仿宋_GB2312" w:eastAsia="仿宋_GB2312"/>
              </w:rPr>
              <w:t>（</w:t>
            </w:r>
            <w:r>
              <w:rPr>
                <w:rFonts w:ascii="仿宋_GB2312" w:hAnsi="仿宋_GB2312" w:cs="仿宋_GB2312" w:eastAsia="仿宋_GB2312"/>
              </w:rPr>
              <w:t>1）合同签订后，支付合同总金额的80%。</w:t>
            </w:r>
          </w:p>
          <w:p>
            <w:pPr>
              <w:pStyle w:val="null3"/>
              <w:jc w:val="both"/>
            </w:pPr>
            <w:r>
              <w:rPr>
                <w:rFonts w:ascii="仿宋_GB2312" w:hAnsi="仿宋_GB2312" w:cs="仿宋_GB2312" w:eastAsia="仿宋_GB2312"/>
              </w:rPr>
              <w:t>（</w:t>
            </w:r>
            <w:r>
              <w:rPr>
                <w:rFonts w:ascii="仿宋_GB2312" w:hAnsi="仿宋_GB2312" w:cs="仿宋_GB2312" w:eastAsia="仿宋_GB2312"/>
              </w:rPr>
              <w:t>2）项目完成后，服务质量合格，支付合同总金额的20%。</w:t>
            </w:r>
          </w:p>
          <w:p>
            <w:pPr>
              <w:pStyle w:val="null3"/>
              <w:jc w:val="both"/>
            </w:pPr>
            <w:r>
              <w:rPr>
                <w:rFonts w:ascii="仿宋_GB2312" w:hAnsi="仿宋_GB2312" w:cs="仿宋_GB2312" w:eastAsia="仿宋_GB2312"/>
              </w:rPr>
              <w:t>五、质量保证：成交供应商应当保证服务内容质量完全符合采购文件的要求，并对服务内容质量问题负责。</w:t>
            </w:r>
          </w:p>
          <w:p>
            <w:pPr>
              <w:pStyle w:val="null3"/>
              <w:jc w:val="both"/>
            </w:pPr>
            <w:r>
              <w:rPr>
                <w:rFonts w:ascii="仿宋_GB2312" w:hAnsi="仿宋_GB2312" w:cs="仿宋_GB2312" w:eastAsia="仿宋_GB2312"/>
              </w:rPr>
              <w:t>六、采购项目执行内容需要调整时，经采购人同意后，可以对相应的内容进行调整，并协商确定价格差额计算方法和负担办法。</w:t>
            </w:r>
          </w:p>
          <w:p>
            <w:pPr>
              <w:pStyle w:val="null3"/>
              <w:jc w:val="both"/>
            </w:pPr>
            <w:r>
              <w:rPr>
                <w:rFonts w:ascii="仿宋_GB2312" w:hAnsi="仿宋_GB2312" w:cs="仿宋_GB2312" w:eastAsia="仿宋_GB2312"/>
              </w:rPr>
              <w:t>七、验收：达到使用条件时由采购人负责组织验收，验收合格后须交接项目实施的全部资料，并填写政府采购项目验收报告单。验收须以合同、采购文件及响应文件、澄清及国家相应的标准、规范等为依据。</w:t>
            </w:r>
          </w:p>
          <w:p>
            <w:pPr>
              <w:pStyle w:val="null3"/>
              <w:jc w:val="both"/>
            </w:pPr>
            <w:r>
              <w:rPr>
                <w:rFonts w:ascii="仿宋_GB2312" w:hAnsi="仿宋_GB2312" w:cs="仿宋_GB2312" w:eastAsia="仿宋_GB2312"/>
                <w:sz w:val="21"/>
              </w:rPr>
              <w:t>八、合同争议的解决：合同执行中发生争议的，当事人双方应协商解决，协商达不成一致时，可向人民法院提请诉讼。</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2025年11月30日前完成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中共渭南市委宣传部项目地点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项目完成后，服务质量合格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达到使用条件时由采购人负责组织验收，验收合格后须交接项目实施的全部资料，并填写政府采购项目验收报告单。验收须以合同、采购文件及响应文件、澄清及国家相应的标准、规范等为依据。</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合同执行中发生争议的，当事人双方应协商解决，协商达不成一致时，可向人民法院提请诉讼。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1、供应商需要在线提交所有通过电子化交易平台实施的政府采购项目的响应文件。 2、成交供应商在领取成交通知书时须向代理机构提供纸质版响应文件正本1份、副本3份、电子版文件1 份（U 盘）。 3、纸质响应文件采用双面打印并胶装成册，须与电子响应文件一致；若电子响应文件与纸质响应文件不一致的，以电子响应文件为准。4、线下纸质文件递交地点：西安市高新区高新路31号凯创国际2幢10楼会议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会计师事务所审计的完整的2024年度审计报告（审计报告至少包含三表一注），或提交2025年2月1日以来基本账户开户银行出具的资信证明；其他组织和自然人提供银行出具的资信证明；附开户许可证或开户备案证明或基本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供应商资格证明文件</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营业执照等有效的证照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会计师事务所审计的完整的2024年度审计报告（审计报告至少包含三表一注），或提交2025年2月1日以来基本账户开户银行出具的资信证明；其他组织和自然人提供银行出具的资信证明；附开户许可证或开户备案证明或基本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9月1日以来至少一个月的依法缴纳税收的相关凭据（时间以税款所属日期为准、税种须包含增值税或企业所得税），凭据应有税务机关或代收机关的公章或业务专用章；其他组织和自然人提供2024年9月1日以来至少一个月缴纳税收的相关凭据；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9月1日以来至少一个月已缴纳的社会保障资金的证明（社会保障资金职工基本养老保险等缴存单据或社保机构开具的社会保险参保缴费情况证明等）；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协商授权委托</w:t>
            </w:r>
          </w:p>
        </w:tc>
        <w:tc>
          <w:tcPr>
            <w:tcW w:type="dxa" w:w="3322"/>
          </w:tcPr>
          <w:p>
            <w:pPr>
              <w:pStyle w:val="null3"/>
            </w:pPr>
            <w:r>
              <w:rPr>
                <w:rFonts w:ascii="仿宋_GB2312" w:hAnsi="仿宋_GB2312" w:cs="仿宋_GB2312" w:eastAsia="仿宋_GB2312"/>
              </w:rPr>
              <w:t>法定代表人参加协商的，应出具法定代表人证明书及法定代表人身份证明，且应与营业执照上信息一致；法定代表人授权他人参加协商的，应出具法定代表人证明书、法定代表人授权书及被授权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分项报价表 标的清单 报价表 响应方案 采购标的成本说明、供应商相关专利及专有技术情况说明、同类项目合同价格说明 供应商承诺书 响应函 供应商资格证明文件 服务要求应答表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协商过程中，协商小组认为供应商响应报价有可能影响项目质量或者不能诚信履约的，协商小组应当要求其在合理的时间内在项目电子化交易系统中上传说明材料，必要时提交相关证明材料。供应商提交的相关证明材料，应当加盖供应商（法定名称）电子印章，在协商小组要求的时间内通过项目电子化交易系统进行提交，否则提交的相关证明材料无效。供应商不能证明其响应报价合理性的，协商小组应当将其响应文件作为无效处理。</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分项报价表 标的清单 报价表 响应方案 采购标的成本说明、供应商相关专利及专有技术情况说明、同类项目合同价格说明 供应商承诺书 响应函 供应商资格证明文件 服务要求应答表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分项报价表 标的清单 报价表 响应方案 采购标的成本说明、供应商相关专利及专有技术情况说明、同类项目合同价格说明 供应商承诺书 响应函 供应商资格证明文件 服务要求应答表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响应文件按采购文件要求的语言、计量单位、报价货币；按采购文件要求签署、盖章。供应商名称应填写全称，供应商名称与营业执照一致</w:t>
            </w:r>
          </w:p>
        </w:tc>
        <w:tc>
          <w:tcPr>
            <w:tcW w:type="dxa" w:w="1661"/>
          </w:tcPr>
          <w:p>
            <w:pPr>
              <w:pStyle w:val="null3"/>
            </w:pPr>
            <w:r>
              <w:rPr>
                <w:rFonts w:ascii="仿宋_GB2312" w:hAnsi="仿宋_GB2312" w:cs="仿宋_GB2312" w:eastAsia="仿宋_GB2312"/>
              </w:rPr>
              <w:t>分项报价表 中小企业声明函 报价表 采购标的成本说明、供应商相关专利及专有技术情况说明、同类项目合同价格说明 协商保证金交纳凭据 服务要求应答表 响应文件封面 残疾人福利性单位声明函 标的清单 供应商承诺书 响应函 供应商资格证明文件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响应有效期符合采购文件要求。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报价唯一；响应报价不超过采购预算。</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协商保证金交纳</w:t>
            </w:r>
          </w:p>
        </w:tc>
        <w:tc>
          <w:tcPr>
            <w:tcW w:type="dxa" w:w="3322"/>
          </w:tcPr>
          <w:p>
            <w:pPr>
              <w:pStyle w:val="null3"/>
            </w:pPr>
            <w:r>
              <w:rPr>
                <w:rFonts w:ascii="仿宋_GB2312" w:hAnsi="仿宋_GB2312" w:cs="仿宋_GB2312" w:eastAsia="仿宋_GB2312"/>
              </w:rPr>
              <w:t>按采购文件规定交纳协商保证金。</w:t>
            </w:r>
          </w:p>
        </w:tc>
        <w:tc>
          <w:tcPr>
            <w:tcW w:type="dxa" w:w="1661"/>
          </w:tcPr>
          <w:p>
            <w:pPr>
              <w:pStyle w:val="null3"/>
            </w:pPr>
            <w:r>
              <w:rPr>
                <w:rFonts w:ascii="仿宋_GB2312" w:hAnsi="仿宋_GB2312" w:cs="仿宋_GB2312" w:eastAsia="仿宋_GB2312"/>
              </w:rPr>
              <w:t>协商保证金交纳凭据</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服务期符合采购文件要求。</w:t>
            </w:r>
          </w:p>
        </w:tc>
        <w:tc>
          <w:tcPr>
            <w:tcW w:type="dxa" w:w="1661"/>
          </w:tcPr>
          <w:p>
            <w:pPr>
              <w:pStyle w:val="null3"/>
            </w:pPr>
            <w:r>
              <w:rPr>
                <w:rFonts w:ascii="仿宋_GB2312" w:hAnsi="仿宋_GB2312" w:cs="仿宋_GB2312" w:eastAsia="仿宋_GB2312"/>
              </w:rPr>
              <w:t>标的清单 报价表 服务要求应答表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详见附件：响应方案</w:t>
      </w:r>
    </w:p>
    <w:p>
      <w:pPr>
        <w:pStyle w:val="null3"/>
        <w:ind w:firstLine="960"/>
      </w:pPr>
      <w:r>
        <w:rPr>
          <w:rFonts w:ascii="仿宋_GB2312" w:hAnsi="仿宋_GB2312" w:cs="仿宋_GB2312" w:eastAsia="仿宋_GB2312"/>
        </w:rPr>
        <w:t>详见附件：服务要求应答表</w:t>
      </w:r>
    </w:p>
    <w:p>
      <w:pPr>
        <w:pStyle w:val="null3"/>
        <w:ind w:firstLine="960"/>
      </w:pPr>
      <w:r>
        <w:rPr>
          <w:rFonts w:ascii="仿宋_GB2312" w:hAnsi="仿宋_GB2312" w:cs="仿宋_GB2312" w:eastAsia="仿宋_GB2312"/>
        </w:rPr>
        <w:t>详见附件：采购标的成本说明、供应商相关专利及专有技术情况说明、同类项目合同价格说明</w:t>
      </w:r>
    </w:p>
    <w:p>
      <w:pPr>
        <w:pStyle w:val="null3"/>
        <w:ind w:firstLine="960"/>
      </w:pPr>
      <w:r>
        <w:rPr>
          <w:rFonts w:ascii="仿宋_GB2312" w:hAnsi="仿宋_GB2312" w:cs="仿宋_GB2312" w:eastAsia="仿宋_GB2312"/>
        </w:rPr>
        <w:t>详见附件：协商保证金交纳凭据</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