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版本号：ZCSP-渭南市-2025-0071820250901001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渭南市“十五五”地下水环境质量考核点位布设项目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ZCSP-渭南市-2025-00718</w:t>
      </w:r>
      <w:r>
        <w:br/>
      </w:r>
      <w:r>
        <w:br/>
      </w:r>
      <w:r>
        <w:br/>
      </w:r>
    </w:p>
    <w:p>
      <w:pPr>
        <w:pStyle w:val="null3"/>
        <w:jc w:val="center"/>
        <w:outlineLvl w:val="2"/>
      </w:pPr>
      <w:r>
        <w:rPr>
          <w:rFonts w:ascii="仿宋_GB2312" w:hAnsi="仿宋_GB2312" w:cs="仿宋_GB2312" w:eastAsia="仿宋_GB2312"/>
          <w:sz w:val="28"/>
          <w:b/>
        </w:rPr>
        <w:t>渭南市环境科学研究中心</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渭南市环境科学研究中心</w:t>
      </w:r>
      <w:r>
        <w:rPr>
          <w:rFonts w:ascii="仿宋_GB2312" w:hAnsi="仿宋_GB2312" w:cs="仿宋_GB2312" w:eastAsia="仿宋_GB2312"/>
        </w:rPr>
        <w:t>委托，拟对</w:t>
      </w:r>
      <w:r>
        <w:rPr>
          <w:rFonts w:ascii="仿宋_GB2312" w:hAnsi="仿宋_GB2312" w:cs="仿宋_GB2312" w:eastAsia="仿宋_GB2312"/>
        </w:rPr>
        <w:t>渭南市“十五五”地下水环境质量考核点位布设项目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渭南市“十五五”地下水环境质量考核点位布设项目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总结“十四五”期间地下水环境质量调查工作成果的基础上，结合渭南市国家考核点位地下水环境质量现状监测数据，组织开展渭南市“十五五”地下水环境质量考核点位布设工作，科学构建现代化生态环境监测体系，精准掌握渭南市地下水环境质量状况及其动态变化趋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采购包1（渭南市“十五五”地下水环境质量考核点位布设项目）：属于专门面向中小企业采购。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1、磋商保证金交纳凭证：磋商保证金交纳凭证</w:t>
      </w:r>
    </w:p>
    <w:p>
      <w:pPr>
        <w:pStyle w:val="null3"/>
      </w:pPr>
      <w:r>
        <w:rPr>
          <w:rFonts w:ascii="仿宋_GB2312" w:hAnsi="仿宋_GB2312" w:cs="仿宋_GB2312" w:eastAsia="仿宋_GB2312"/>
        </w:rPr>
        <w:t>2、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3、法定代表人身份证明书或授权委托书：法定代表人参与磋商时需提供法定代表人身份证明书；被授权人参与磋商时需提供法定代表人授权委托书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4、项目负责人：拟派项目负责人具备相关专业高级职称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渭南市环境科学研究中心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渭南市朝阳大街中段市环保局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渭南市环境科学研究中心经办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0913-2072972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刘世龙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渭南市环境科学研究中心</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渭南市环境科学研究中心</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渭南市环境科学研究中心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按服务内容、服务要求、响应文件及澄清函、项目检查情况等综合指标进行验收。各项指标均应符合验收标准及要求。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联系人：刘世龙</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渭南市“十五五”地下水环境质量考核点位布设工作，工作内容主要包括资料收集、现场调查、人员访谈、现有监测井初步筛选、国考点位优化调整、样品采集与监测以及国考点位建议提出等多个方面，同时拟形成《渭南市“十五五”拟布设地下水环境质量考核点位建议报告》、《渭南市“十五五”地下水环境质量考核点位布设优化调整报告》等相关资料。</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渭南市“十五五”地下水环境质量考核点位布设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标的名称：渭南市“十五五”地下水环境质量考核点位布设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pPr>
            <w:r>
              <w:rPr>
                <w:rFonts w:ascii="仿宋_GB2312" w:hAnsi="仿宋_GB2312" w:cs="仿宋_GB2312" w:eastAsia="仿宋_GB2312"/>
              </w:rPr>
              <w:t>（一）服务项目概况</w:t>
            </w:r>
          </w:p>
          <w:p>
            <w:pPr>
              <w:pStyle w:val="null3"/>
            </w:pPr>
            <w:r>
              <w:rPr>
                <w:rFonts w:ascii="仿宋_GB2312" w:hAnsi="仿宋_GB2312" w:cs="仿宋_GB2312" w:eastAsia="仿宋_GB2312"/>
              </w:rPr>
              <w:t>本项目为渭南市“十五五”地下水环境质量考核点位布设工作，工作内容主要包括资料收集、现场调查、人员访谈、现有监测井初步筛选、国考点位优化调整、样品采集与监测以及国考点位建议提出等多个方面，同时拟形成《渭南市“十五五”拟布设地下水环境质量考核点位建议报告》、《渭南市“十五五”地下水环境质量考核点位布设优化调整报告》等相关资料。</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1、前期调查</w:t>
            </w:r>
          </w:p>
          <w:p>
            <w:pPr>
              <w:pStyle w:val="null3"/>
            </w:pPr>
            <w:r>
              <w:rPr>
                <w:rFonts w:ascii="仿宋_GB2312" w:hAnsi="仿宋_GB2312" w:cs="仿宋_GB2312" w:eastAsia="仿宋_GB2312"/>
              </w:rPr>
              <w:t>（1）资料收集</w:t>
            </w:r>
          </w:p>
          <w:p>
            <w:pPr>
              <w:pStyle w:val="null3"/>
            </w:pPr>
            <w:r>
              <w:rPr>
                <w:rFonts w:ascii="仿宋_GB2312" w:hAnsi="仿宋_GB2312" w:cs="仿宋_GB2312" w:eastAsia="仿宋_GB2312"/>
              </w:rPr>
              <w:t>主要包括但不局限于国考点位所在行政区地理位置、行政区划、地形地貌与土地利用状况、气象条件、地表水系分布、区域地质与水文地质条件、区域地下水资源及开发利用情况、国考点位周边主要污染源与敏感受体分布情况、污染防治重点区划定情况以及现有监测井分布情况与基本信息以及现有国考点位基本信息。</w:t>
            </w:r>
          </w:p>
          <w:p>
            <w:pPr>
              <w:pStyle w:val="null3"/>
            </w:pPr>
            <w:r>
              <w:rPr>
                <w:rFonts w:ascii="仿宋_GB2312" w:hAnsi="仿宋_GB2312" w:cs="仿宋_GB2312" w:eastAsia="仿宋_GB2312"/>
              </w:rPr>
              <w:t>（2）现场调查</w:t>
            </w:r>
          </w:p>
          <w:p>
            <w:pPr>
              <w:pStyle w:val="null3"/>
            </w:pPr>
            <w:r>
              <w:rPr>
                <w:rFonts w:ascii="仿宋_GB2312" w:hAnsi="仿宋_GB2312" w:cs="仿宋_GB2312" w:eastAsia="仿宋_GB2312"/>
              </w:rPr>
              <w:t>1）重点污染源调查</w:t>
            </w:r>
          </w:p>
          <w:p>
            <w:pPr>
              <w:pStyle w:val="null3"/>
            </w:pPr>
            <w:r>
              <w:rPr>
                <w:rFonts w:ascii="仿宋_GB2312" w:hAnsi="仿宋_GB2312" w:cs="仿宋_GB2312" w:eastAsia="仿宋_GB2312"/>
              </w:rPr>
              <w:t>本次重点污染源调查工作围绕渭南市工业聚集区、垃圾填埋场、危废处置场展开。工业聚集区7个、垃圾填埋场11个、危废处置场1个。</w:t>
            </w:r>
          </w:p>
          <w:p>
            <w:pPr>
              <w:pStyle w:val="null3"/>
            </w:pPr>
            <w:r>
              <w:rPr>
                <w:rFonts w:ascii="仿宋_GB2312" w:hAnsi="仿宋_GB2312" w:cs="仿宋_GB2312" w:eastAsia="仿宋_GB2312"/>
              </w:rPr>
              <w:t>重点污染源现场调查工作内容主要包括：核实前期资料收集过程中重点污染源基本信息、企业重点关注区域、污染物生产、存储及运输设施、设备现状是否一致。各重点污染源生产车间、墙壁、地面等是否存在明显污染痕迹。</w:t>
            </w:r>
          </w:p>
          <w:p>
            <w:pPr>
              <w:pStyle w:val="null3"/>
            </w:pPr>
            <w:r>
              <w:rPr>
                <w:rFonts w:ascii="仿宋_GB2312" w:hAnsi="仿宋_GB2312" w:cs="仿宋_GB2312" w:eastAsia="仿宋_GB2312"/>
              </w:rPr>
              <w:t>2）周边敏感目标调查</w:t>
            </w:r>
          </w:p>
          <w:p>
            <w:pPr>
              <w:pStyle w:val="null3"/>
            </w:pPr>
            <w:r>
              <w:rPr>
                <w:rFonts w:ascii="仿宋_GB2312" w:hAnsi="仿宋_GB2312" w:cs="仿宋_GB2312" w:eastAsia="仿宋_GB2312"/>
              </w:rPr>
              <w:t>针对“十四五”期间使用的10个地下水国考点的周边敏感目标进行现场核实。</w:t>
            </w:r>
          </w:p>
          <w:p>
            <w:pPr>
              <w:pStyle w:val="null3"/>
            </w:pPr>
            <w:r>
              <w:rPr>
                <w:rFonts w:ascii="仿宋_GB2312" w:hAnsi="仿宋_GB2312" w:cs="仿宋_GB2312" w:eastAsia="仿宋_GB2312"/>
              </w:rPr>
              <w:t>3）已有地下水监测井调查</w:t>
            </w:r>
          </w:p>
          <w:p>
            <w:pPr>
              <w:pStyle w:val="null3"/>
            </w:pPr>
            <w:r>
              <w:rPr>
                <w:rFonts w:ascii="仿宋_GB2312" w:hAnsi="仿宋_GB2312" w:cs="仿宋_GB2312" w:eastAsia="仿宋_GB2312"/>
              </w:rPr>
              <w:t>针对地下水国考点所在区域400多口地下水环境监测井、民井、灌溉井以及探井进行井位基础信息核实、地下水水位统测。</w:t>
            </w:r>
          </w:p>
          <w:p>
            <w:pPr>
              <w:pStyle w:val="null3"/>
            </w:pPr>
            <w:r>
              <w:rPr>
                <w:rFonts w:ascii="仿宋_GB2312" w:hAnsi="仿宋_GB2312" w:cs="仿宋_GB2312" w:eastAsia="仿宋_GB2312"/>
              </w:rPr>
              <w:t>2、现有监测井初步筛选</w:t>
            </w:r>
          </w:p>
          <w:p>
            <w:pPr>
              <w:pStyle w:val="null3"/>
            </w:pPr>
            <w:r>
              <w:rPr>
                <w:rFonts w:ascii="仿宋_GB2312" w:hAnsi="仿宋_GB2312" w:cs="仿宋_GB2312" w:eastAsia="仿宋_GB2312"/>
              </w:rPr>
              <w:t>通过对已有井现状基础信息、所处水文地质单元情况以及与污染源位置关系，初步筛选56个符合“十五五”地下水环境质量考核点位建设要求监测点位。其中包含风险监控点位42个、区域控制点位14个。</w:t>
            </w:r>
          </w:p>
          <w:p>
            <w:pPr>
              <w:pStyle w:val="null3"/>
            </w:pPr>
            <w:r>
              <w:rPr>
                <w:rFonts w:ascii="仿宋_GB2312" w:hAnsi="仿宋_GB2312" w:cs="仿宋_GB2312" w:eastAsia="仿宋_GB2312"/>
              </w:rPr>
              <w:t>3、国考点位优化调整</w:t>
            </w:r>
          </w:p>
          <w:p>
            <w:pPr>
              <w:pStyle w:val="null3"/>
            </w:pPr>
            <w:r>
              <w:rPr>
                <w:rFonts w:ascii="仿宋_GB2312" w:hAnsi="仿宋_GB2312" w:cs="仿宋_GB2312" w:eastAsia="仿宋_GB2312"/>
              </w:rPr>
              <w:t>“十五五”期间地下水国考点位分为区域点位和风险监控点位。其中区域点位包括现有区域点位和饮用水源点位，用于地下水环境质量评估；环境风险监控点位用于强化地下水污染源头风险监控，重点监控“一区两场”等风险较高的污染源及其周边地下水环境质量。</w:t>
            </w:r>
          </w:p>
          <w:p>
            <w:pPr>
              <w:pStyle w:val="null3"/>
            </w:pPr>
            <w:r>
              <w:rPr>
                <w:rFonts w:ascii="仿宋_GB2312" w:hAnsi="仿宋_GB2312" w:cs="仿宋_GB2312" w:eastAsia="仿宋_GB2312"/>
              </w:rPr>
              <w:t>对初步筛选的56个地下水环境质量考核点位，按照《陕西省生态环境厅关于转发《“十五五”国家地下水环境质量监测点位优化调整工作方案》的通知》（陕环监测函〔2025〕20号）进行优化调整。优化调整后点位实现地级及以上城市、主要地下水资源三级分区和重点监控“一区两场”全覆盖。</w:t>
            </w:r>
          </w:p>
          <w:p>
            <w:pPr>
              <w:pStyle w:val="null3"/>
            </w:pPr>
            <w:r>
              <w:rPr>
                <w:rFonts w:ascii="仿宋_GB2312" w:hAnsi="仿宋_GB2312" w:cs="仿宋_GB2312" w:eastAsia="仿宋_GB2312"/>
              </w:rPr>
              <w:t>4、水位水质监测</w:t>
            </w:r>
          </w:p>
          <w:p>
            <w:pPr>
              <w:pStyle w:val="null3"/>
            </w:pPr>
            <w:r>
              <w:rPr>
                <w:rFonts w:ascii="仿宋_GB2312" w:hAnsi="仿宋_GB2312" w:cs="仿宋_GB2312" w:eastAsia="仿宋_GB2312"/>
              </w:rPr>
              <w:t>根据《陕西省地下水国考点位水质达标或保持（改善）方案编制指南（试行）》（2022年9月）和国考点位历史监测数据，本次水质监测指标为基础指标（35项）+特征污染物。在国考点位地下水样品采集过程中针对国考点位开展水位统测工作。本次国考点位水位与水质监测工作开展频次为1次。本次地下水样品采集过程严格按照《地下水环境监测技术规范》（HJ164-2020）中相关技术要求执行。</w:t>
            </w:r>
          </w:p>
          <w:p>
            <w:pPr>
              <w:pStyle w:val="null3"/>
            </w:pPr>
            <w:r>
              <w:rPr>
                <w:rFonts w:ascii="仿宋_GB2312" w:hAnsi="仿宋_GB2312" w:cs="仿宋_GB2312" w:eastAsia="仿宋_GB2312"/>
              </w:rPr>
              <w:t>（三）成果形式及内容</w:t>
            </w:r>
          </w:p>
          <w:p>
            <w:pPr>
              <w:pStyle w:val="null3"/>
            </w:pPr>
            <w:r>
              <w:rPr>
                <w:rFonts w:ascii="仿宋_GB2312" w:hAnsi="仿宋_GB2312" w:cs="仿宋_GB2312" w:eastAsia="仿宋_GB2312"/>
              </w:rPr>
              <w:t>内容：《渭南市“十五五”拟布设地下水环境质量考核点位建议报告》、《渭南市“十五五”地下水环境质量考核点位布设优化调整报告》及相关资料等。</w:t>
            </w:r>
          </w:p>
          <w:p>
            <w:pPr>
              <w:pStyle w:val="null3"/>
            </w:pPr>
            <w:r>
              <w:rPr>
                <w:rFonts w:ascii="仿宋_GB2312" w:hAnsi="仿宋_GB2312" w:cs="仿宋_GB2312" w:eastAsia="仿宋_GB2312"/>
              </w:rPr>
              <w:t>形式：纸质版4份，电子版1份。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1.质量标准：成果文件及配套服务达到中省及行业相关要求。 2.验收标准：按服务内容、服务要求、响应文件及澄清函、项目检查情况等综合指标进行验收。各项指标均应符合验收标准及要求。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本次服务费根据项目完成进度支付。双方签定合同后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供应商完成所有工作内容，最终成果经采购人及相关部门验收合格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因未及时向供应商提供项目启动所需资料、协调地方关系造成工期延误，每延误1日则本合同服务期限延长1日，以此类推；因资料真实性给供应商造成损失和产生相关连带责任时，采购人除按供应商要求进行赔偿外还需承担因连带责任产生的所有责任。 2、因供应商原因造成服务期延误（自然灾害等不可抗力除外），采购人有权从未付款项中按每日3‰合同价款扣除违约金，此违约以30日为限；若采购人未按约定时间付款，则供应商有权按每日3‰合同价款收取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（1）根据《政府采购法实施条例》释义，银行、保险、石油石化、电力、电信等有行业特殊情况的，允许法人的分支机构参加政府采购活动。 （2）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供应商应须具有独立承担民事责任的能力的证明材料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②税收缴纳证明：提供响应文件递交截止时间前一年内任意一个月的缴费凭据（依法免税的供应商应提供相关文件证明）；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本项目专门面向中小企业采购，供应商应为中型、小型或微型企业，本项目所属行业：其他未列明行业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拟派项目负责人具备相关专业高级职称</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技术方案.docx 服务内容及服务邀请应答表 中小企业声明函 商务应答表 报价表 响应文件封面 政府采购供应商拒绝政府采购领域商业贿赂承诺书.docx 分项报价表.docx 残疾人福利性单位声明函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服务内容及服务邀请应答表 中小企业声明函 商务应答表 报价表 响应文件封面 政府采购供应商拒绝政府采购领域商业贿赂承诺书.docx 分项报价表.docx 残疾人福利性单位声明函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对采购文件要求不得进行负偏离响应</w:t>
            </w:r>
          </w:p>
        </w:tc>
        <w:tc>
          <w:tcPr>
            <w:tcW w:type="dxa" w:w="1661"/>
          </w:tcPr>
          <w:p>
            <w:pPr>
              <w:pStyle w:val="null3"/>
            </w:pPr>
            <w:r>
              <w:rPr>
                <w:rFonts w:ascii="仿宋_GB2312" w:hAnsi="仿宋_GB2312" w:cs="仿宋_GB2312" w:eastAsia="仿宋_GB2312"/>
              </w:rPr>
              <w:t>技术方案.docx 服务内容及服务邀请应答表 中小企业声明函 商务应答表 报价表 响应文件封面 政府采购供应商拒绝政府采购领域商业贿赂承诺书.docx 分项报价表.docx 残疾人福利性单位声明函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评审内容： 包含：①项目理解，需求分析；②项目实施步骤各阶段进度控制保障措施；③项目重点、难点分析； 赋分标准（12分）： 每项评审内容不存在缺陷得4分，满分12分；每项评审内容每存在一处缺陷扣1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 包含：①成果目标；②服务计划；③资料收集、现场调查、点位优化与监测方案；④保密措施。 赋分标准（16分）： 每项评审内容不存在缺陷得4分，满分16分；每项评审内容每存在一处缺陷扣1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 包含： ①服务质量保障措施；②服务质量标准；③保证人员按时到岗措施。 赋分标准（12分）： 每项评审内容不存在缺陷得4分，满分12分；每项评审内容每存在一处缺陷扣1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项目进度计划及保证措施</w:t>
            </w:r>
          </w:p>
        </w:tc>
        <w:tc>
          <w:tcPr>
            <w:tcW w:type="dxa" w:w="2492"/>
          </w:tcPr>
          <w:p>
            <w:pPr>
              <w:pStyle w:val="null3"/>
            </w:pPr>
            <w:r>
              <w:rPr>
                <w:rFonts w:ascii="仿宋_GB2312" w:hAnsi="仿宋_GB2312" w:cs="仿宋_GB2312" w:eastAsia="仿宋_GB2312"/>
              </w:rPr>
              <w:t>评审内容： 包含：①各阶段进度控制计划；②进度控制保证措施。 赋分标准（8分）： 每项评审内容不存在缺陷得4分，满分8分；每项评审内容每存在一处缺陷扣1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评审内容： 包含：①突发事件识别；②应急情况处理措施；③突发事件应急人员安排。 赋分标准（12分）： 每项评审内容不存在缺陷得4分，满分12分；每项评审内容每存在一处缺陷扣1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制定详细可行的服务方案及标准，并针对本项目提供详细具体可行的服务措施承诺，每提出一项得1分，最高得3分，未提供不得分。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制定针对本项目，详细可行的合理化建议，每提出一项得1分，最高得3分，未提供不得分。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供应商具有近三年（2022年9月至今）的类似项目业绩，每提供1个业绩得1分，本项目最高得4分。（以合同签订时间为准。）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1、服务团队： ①实施团队人员配备7人及以上得6分； ②实施团队人员配备4-6人得4分； ③实施团队人员配备1-3人得2分。 需提供佐证材料，包括但不限于身份证、毕业证、岗位证等，本项最高得6分，未提供不得分。 2、服务团队人员（不包含项目负责人）每具有一个中级职称得1分，高级职称得2分，本项最多得4分，需提供佐证材料，未提供不得分。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满足磋商文件要求且最后报价最低的供应商的价格为基准价得20分，其他各供应商的最后报价得分按下列公式计算：磋商报价得分=（磋商基准价/最后磋商报价）×20%×100。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