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版本号：SXZZ-采-【G2025-090301】20250912006</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渭南高新区尾水湿地工程一期运维管理服务项目湿地围挡建设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SXZZ-采-【G2025-090301】</w:t>
      </w:r>
      <w:r>
        <w:br/>
      </w:r>
      <w:r>
        <w:br/>
      </w:r>
      <w:r>
        <w:br/>
      </w:r>
    </w:p>
    <w:p>
      <w:pPr>
        <w:pStyle w:val="null3"/>
        <w:jc w:val="center"/>
        <w:outlineLvl w:val="2"/>
      </w:pPr>
      <w:r>
        <w:rPr>
          <w:rFonts w:ascii="仿宋_GB2312" w:hAnsi="仿宋_GB2312" w:cs="仿宋_GB2312" w:eastAsia="仿宋_GB2312"/>
          <w:sz w:val="28"/>
          <w:b/>
        </w:rPr>
        <w:t>渭南市生态环境局高新分局</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渭南市生态环境局高新分局</w:t>
      </w:r>
      <w:r>
        <w:rPr>
          <w:rFonts w:ascii="仿宋_GB2312" w:hAnsi="仿宋_GB2312" w:cs="仿宋_GB2312" w:eastAsia="仿宋_GB2312"/>
        </w:rPr>
        <w:t>委托，拟对</w:t>
      </w:r>
      <w:r>
        <w:rPr>
          <w:rFonts w:ascii="仿宋_GB2312" w:hAnsi="仿宋_GB2312" w:cs="仿宋_GB2312" w:eastAsia="仿宋_GB2312"/>
        </w:rPr>
        <w:t>渭南高新区尾水湿地工程一期运维管理服务项目湿地围挡建设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SXZZ-采-【G2025-090301】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渭南高新区尾水湿地工程一期运维管理服务项目湿地围挡建设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对渭南市高新区尾水湿地工程一期原有围挡拆除及新围挡建设。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采购包1（渭南高新区尾水湿地工程一期运维管理服务项目湿地围挡建设）：属于专门面向中小企业采购。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3、财务报表：提供供应商2024年年度财务报表（包括资产负债表、利润表、现金流量表）或供应商开户银行针对本项目开具的资信证明；</w:t>
      </w:r>
    </w:p>
    <w:p>
      <w:pPr>
        <w:pStyle w:val="null3"/>
      </w:pPr>
      <w:r>
        <w:rPr>
          <w:rFonts w:ascii="仿宋_GB2312" w:hAnsi="仿宋_GB2312" w:cs="仿宋_GB2312" w:eastAsia="仿宋_GB2312"/>
        </w:rPr>
        <w:t>4、完税证明及社保缴纳凭证：提供2024年9月至今任意一个月完税证明及社保缴纳凭证（须含养老），依法免税或至提交首次响应文件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5、供应商资质：供应商须具备市政公用工程施工总承包或建筑工程施工总承包或钢结构工程专业承包三级（含）以上资质，并具有合格有效的安全生产许可证；</w:t>
      </w:r>
    </w:p>
    <w:p>
      <w:pPr>
        <w:pStyle w:val="null3"/>
      </w:pPr>
      <w:r>
        <w:rPr>
          <w:rFonts w:ascii="仿宋_GB2312" w:hAnsi="仿宋_GB2312" w:cs="仿宋_GB2312" w:eastAsia="仿宋_GB2312"/>
        </w:rPr>
        <w:t>6、项目负责人（项目经理）：拟派项目负责人须具备建筑工程或市政工程专业二级或二级以上的注册建造师资格，具有有效的安全生产考核 B 级证书，在本单位注册且无在建项目（提供承诺书）；</w:t>
      </w:r>
    </w:p>
    <w:p>
      <w:pPr>
        <w:pStyle w:val="null3"/>
      </w:pPr>
      <w:r>
        <w:rPr>
          <w:rFonts w:ascii="仿宋_GB2312" w:hAnsi="仿宋_GB2312" w:cs="仿宋_GB2312" w:eastAsia="仿宋_GB2312"/>
        </w:rPr>
        <w:t>7、供应商及拟派项目负责人基本信息：供应商及拟派项目负责人须在“陕西省建筑市场监管与诚信信息发布平台” （https://61.185.253.130:14190/sxjzscqy/serviceportal/portalsite/index/index）中查询到基本信息；</w:t>
      </w:r>
    </w:p>
    <w:p>
      <w:pPr>
        <w:pStyle w:val="null3"/>
      </w:pPr>
      <w:r>
        <w:rPr>
          <w:rFonts w:ascii="仿宋_GB2312" w:hAnsi="仿宋_GB2312" w:cs="仿宋_GB2312" w:eastAsia="仿宋_GB2312"/>
        </w:rPr>
        <w:t>8、无重大违法违规记录、无重大行政处罚、无重大安全事故的书面声明：供应商在参加本采购活动前三年内（2022年9月至提交首次响应文件截止时间止）在经营活动中无重大违法违规记录、无重大行政处罚、无重大安全事故的书面声明；</w:t>
      </w:r>
    </w:p>
    <w:p>
      <w:pPr>
        <w:pStyle w:val="null3"/>
      </w:pPr>
      <w:r>
        <w:rPr>
          <w:rFonts w:ascii="仿宋_GB2312" w:hAnsi="仿宋_GB2312" w:cs="仿宋_GB2312" w:eastAsia="仿宋_GB2312"/>
        </w:rPr>
        <w:t>9、提供磋商保证金凭证或磋商保函：缴纳磋商保证金；</w:t>
      </w:r>
    </w:p>
    <w:p>
      <w:pPr>
        <w:pStyle w:val="null3"/>
      </w:pPr>
      <w:r>
        <w:rPr>
          <w:rFonts w:ascii="仿宋_GB2312" w:hAnsi="仿宋_GB2312" w:cs="仿宋_GB2312" w:eastAsia="仿宋_GB2312"/>
        </w:rPr>
        <w:t>10、禁止磋商情形：禁止磋商情形：①法定代表人或负责人为同一人或存在直接控股、管理关系的不同单位，不得同时参加本项目磋商；②与采购人存在利害关系的单位不得参加本项目磋商；③法律法规规定的其他禁止磋商情形；</w:t>
      </w:r>
    </w:p>
    <w:p>
      <w:pPr>
        <w:pStyle w:val="null3"/>
      </w:pPr>
      <w:r>
        <w:rPr>
          <w:rFonts w:ascii="仿宋_GB2312" w:hAnsi="仿宋_GB2312" w:cs="仿宋_GB2312" w:eastAsia="仿宋_GB2312"/>
        </w:rPr>
        <w:t>11、提供非联合体磋商声明函：非联合体磋商。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渭南市东风大街西段57号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苏贺娟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18991635915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陕西省西安市莲湖区沣惠路南段艺腾国际商务大厦十楼1015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招标二部-王凯、左金娟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招标代理服务收费管理暂行办法》计价格[2002]1980号文及发改价格[2015]299号文件相关规定，定额收取捌仟元整。2.收取时间:成交人确定之日应当收取。3.支付时间：成交人确定之日起2日内一次性全额支付。费用包含在磋商报价中，无论计算与否，均视为已知。</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渭南市生态环境局高新分局</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渭南市生态环境局高新分局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满足磋商文件要求，符合国家、地方相关法律法规、技术标准和规范要求。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联系电话：029-81510957</w:t>
      </w:r>
    </w:p>
    <w:p>
      <w:pPr>
        <w:pStyle w:val="null3"/>
      </w:pPr>
      <w:r>
        <w:rPr>
          <w:rFonts w:ascii="仿宋_GB2312" w:hAnsi="仿宋_GB2312" w:cs="仿宋_GB2312" w:eastAsia="仿宋_GB2312"/>
        </w:rPr>
        <w:t>地址：西安市沣惠路南段艺腾国际商务大厦1015室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湿地围挡建设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标的名称：湿地围挡建设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（一）项目基础信息</w:t>
            </w:r>
          </w:p>
          <w:p>
            <w:pPr>
              <w:pStyle w:val="null3"/>
              <w:ind w:firstLine="440"/>
              <w:jc w:val="both"/>
            </w:pPr>
            <w:r>
              <w:rPr>
                <w:rFonts w:ascii="仿宋_GB2312" w:hAnsi="仿宋_GB2312" w:cs="仿宋_GB2312" w:eastAsia="仿宋_GB2312"/>
                <w:sz w:val="22"/>
              </w:rPr>
              <w:t>1、项目名称：渭南高新区尾水湿地工程一期运维管理服务项目湿地围挡建设</w:t>
            </w:r>
          </w:p>
          <w:p>
            <w:pPr>
              <w:pStyle w:val="null3"/>
              <w:ind w:firstLine="440"/>
              <w:jc w:val="both"/>
            </w:pPr>
            <w:r>
              <w:rPr>
                <w:rFonts w:ascii="仿宋_GB2312" w:hAnsi="仿宋_GB2312" w:cs="仿宋_GB2312" w:eastAsia="仿宋_GB2312"/>
                <w:sz w:val="22"/>
              </w:rPr>
              <w:t>2、项目地点：渭南市高新区</w:t>
            </w:r>
          </w:p>
          <w:p>
            <w:pPr>
              <w:pStyle w:val="null3"/>
              <w:ind w:firstLine="440"/>
              <w:jc w:val="both"/>
            </w:pPr>
            <w:r>
              <w:rPr>
                <w:rFonts w:ascii="仿宋_GB2312" w:hAnsi="仿宋_GB2312" w:cs="仿宋_GB2312" w:eastAsia="仿宋_GB2312"/>
                <w:sz w:val="22"/>
              </w:rPr>
              <w:t>3、项目主要内容：对渭南市高新区尾水湿地工程一期原有围挡拆除及新围挡建设。</w:t>
            </w:r>
          </w:p>
          <w:p>
            <w:pPr>
              <w:pStyle w:val="null3"/>
              <w:ind w:firstLine="440"/>
              <w:jc w:val="both"/>
            </w:pPr>
            <w:r>
              <w:rPr>
                <w:rFonts w:ascii="仿宋_GB2312" w:hAnsi="仿宋_GB2312" w:cs="仿宋_GB2312" w:eastAsia="仿宋_GB2312"/>
                <w:sz w:val="22"/>
              </w:rPr>
              <w:t>4、工期：自合同签订之日起 60 天内完成全部工程内容。</w:t>
            </w:r>
          </w:p>
          <w:p>
            <w:pPr>
              <w:pStyle w:val="null3"/>
              <w:ind w:firstLine="440"/>
              <w:jc w:val="both"/>
            </w:pPr>
            <w:r>
              <w:rPr>
                <w:rFonts w:ascii="仿宋_GB2312" w:hAnsi="仿宋_GB2312" w:cs="仿宋_GB2312" w:eastAsia="仿宋_GB2312"/>
                <w:sz w:val="22"/>
              </w:rPr>
              <w:t>5、质保期：自项目验收合格之日起3年。</w:t>
            </w:r>
          </w:p>
          <w:p>
            <w:pPr>
              <w:pStyle w:val="null3"/>
              <w:ind w:firstLine="440"/>
              <w:jc w:val="both"/>
            </w:pPr>
            <w:r>
              <w:rPr>
                <w:rFonts w:ascii="仿宋_GB2312" w:hAnsi="仿宋_GB2312" w:cs="仿宋_GB2312" w:eastAsia="仿宋_GB2312"/>
                <w:sz w:val="22"/>
              </w:rPr>
              <w:t>6、核心定位：通过规范施工构建兼具安全防护、隐私保护与湿地环境协调的铁艺实体屏障，在保障区域安全的同时，实现与周边湿地景观的融合。</w:t>
            </w:r>
          </w:p>
          <w:p>
            <w:pPr>
              <w:pStyle w:val="null3"/>
              <w:jc w:val="both"/>
            </w:pPr>
            <w:r>
              <w:rPr>
                <w:rFonts w:ascii="仿宋_GB2312" w:hAnsi="仿宋_GB2312" w:cs="仿宋_GB2312" w:eastAsia="仿宋_GB2312"/>
                <w:sz w:val="24"/>
                <w:b/>
              </w:rPr>
              <w:t>（二）项目基本要求</w:t>
            </w:r>
          </w:p>
          <w:p>
            <w:pPr>
              <w:pStyle w:val="null3"/>
              <w:jc w:val="both"/>
            </w:pPr>
            <w:r>
              <w:rPr>
                <w:rFonts w:ascii="仿宋_GB2312" w:hAnsi="仿宋_GB2312" w:cs="仿宋_GB2312" w:eastAsia="仿宋_GB2312"/>
                <w:sz w:val="22"/>
              </w:rPr>
              <w:t>1、功能需求</w:t>
            </w:r>
          </w:p>
          <w:p>
            <w:pPr>
              <w:pStyle w:val="null3"/>
              <w:ind w:firstLine="440"/>
              <w:jc w:val="both"/>
            </w:pPr>
            <w:r>
              <w:rPr>
                <w:rFonts w:ascii="仿宋_GB2312" w:hAnsi="仿宋_GB2312" w:cs="仿宋_GB2312" w:eastAsia="仿宋_GB2312"/>
                <w:sz w:val="22"/>
              </w:rPr>
              <w:t>1.1防护要求：</w:t>
            </w:r>
          </w:p>
          <w:p>
            <w:pPr>
              <w:pStyle w:val="null3"/>
              <w:ind w:firstLine="440"/>
              <w:jc w:val="both"/>
            </w:pPr>
            <w:r>
              <w:rPr>
                <w:rFonts w:ascii="仿宋_GB2312" w:hAnsi="仿宋_GB2312" w:cs="仿宋_GB2312" w:eastAsia="仿宋_GB2312"/>
                <w:sz w:val="22"/>
              </w:rPr>
              <w:t>①防入侵：围栏可抵御不低于 500N 水平冲击力，主立柱与基础连接牢固，防翻越、防破坏。</w:t>
            </w:r>
          </w:p>
          <w:p>
            <w:pPr>
              <w:pStyle w:val="null3"/>
              <w:ind w:firstLine="440"/>
              <w:jc w:val="both"/>
            </w:pPr>
            <w:r>
              <w:rPr>
                <w:rFonts w:ascii="仿宋_GB2312" w:hAnsi="仿宋_GB2312" w:cs="仿宋_GB2312" w:eastAsia="仿宋_GB2312"/>
                <w:sz w:val="22"/>
              </w:rPr>
              <w:t>②边界隔离：明确湿地区域与外部、公共区域边界，避免无关人员/动物误入。</w:t>
            </w:r>
          </w:p>
          <w:p>
            <w:pPr>
              <w:pStyle w:val="null3"/>
              <w:ind w:firstLine="440"/>
              <w:jc w:val="both"/>
            </w:pPr>
            <w:r>
              <w:rPr>
                <w:rFonts w:ascii="仿宋_GB2312" w:hAnsi="仿宋_GB2312" w:cs="仿宋_GB2312" w:eastAsia="仿宋_GB2312"/>
                <w:sz w:val="22"/>
              </w:rPr>
              <w:t>1.2性能要求</w:t>
            </w:r>
          </w:p>
          <w:p>
            <w:pPr>
              <w:pStyle w:val="null3"/>
              <w:ind w:firstLine="440"/>
              <w:jc w:val="both"/>
            </w:pPr>
            <w:r>
              <w:rPr>
                <w:rFonts w:ascii="仿宋_GB2312" w:hAnsi="仿宋_GB2312" w:cs="仿宋_GB2312" w:eastAsia="仿宋_GB2312"/>
                <w:sz w:val="22"/>
              </w:rPr>
              <w:t>①材质：主/次立柱用 Q235B 钢材，高2米，热镀锌+静电喷涂（锌层≥85μm、涂层≥60μm），耐盐雾腐蚀≥500 小时，质保3 年；250mm×250mm×10mm 预埋件热镀锌，防锈等级须达到 Sa2.5 级，约500块。</w:t>
            </w:r>
          </w:p>
          <w:p>
            <w:pPr>
              <w:pStyle w:val="null3"/>
              <w:ind w:firstLine="440"/>
              <w:jc w:val="both"/>
            </w:pPr>
            <w:r>
              <w:rPr>
                <w:rFonts w:ascii="仿宋_GB2312" w:hAnsi="仿宋_GB2312" w:cs="仿宋_GB2312" w:eastAsia="仿宋_GB2312"/>
                <w:sz w:val="22"/>
              </w:rPr>
              <w:t>②</w:t>
            </w:r>
            <w:r>
              <w:rPr>
                <w:rFonts w:ascii="仿宋_GB2312" w:hAnsi="仿宋_GB2312" w:cs="仿宋_GB2312" w:eastAsia="仿宋_GB2312"/>
                <w:sz w:val="22"/>
              </w:rPr>
              <w:t>结构：</w:t>
            </w:r>
            <w:r>
              <w:rPr>
                <w:rFonts w:ascii="仿宋_GB2312" w:hAnsi="仿宋_GB2312" w:cs="仿宋_GB2312" w:eastAsia="仿宋_GB2312"/>
                <w:sz w:val="22"/>
              </w:rPr>
              <w:t>C20 独立基础（混凝土量</w:t>
            </w:r>
            <w:r>
              <w:rPr>
                <w:rFonts w:ascii="仿宋_GB2312" w:hAnsi="仿宋_GB2312" w:cs="仿宋_GB2312" w:eastAsia="仿宋_GB2312"/>
                <w:sz w:val="22"/>
              </w:rPr>
              <w:t>约</w:t>
            </w:r>
            <w:r>
              <w:rPr>
                <w:rFonts w:ascii="仿宋_GB2312" w:hAnsi="仿宋_GB2312" w:cs="仿宋_GB2312" w:eastAsia="仿宋_GB2312"/>
                <w:sz w:val="22"/>
              </w:rPr>
              <w:t>90m</w:t>
            </w:r>
            <w:r>
              <w:rPr>
                <w:rFonts w:ascii="仿宋_GB2312" w:hAnsi="仿宋_GB2312" w:cs="仿宋_GB2312" w:eastAsia="仿宋_GB2312"/>
                <w:sz w:val="22"/>
              </w:rPr>
              <w:t>³</w:t>
            </w:r>
            <w:r>
              <w:rPr>
                <w:rFonts w:ascii="仿宋_GB2312" w:hAnsi="仿宋_GB2312" w:cs="仿宋_GB2312" w:eastAsia="仿宋_GB2312"/>
                <w:sz w:val="22"/>
              </w:rPr>
              <w:t>），承载力</w:t>
            </w:r>
            <w:r>
              <w:rPr>
                <w:rFonts w:ascii="仿宋_GB2312" w:hAnsi="仿宋_GB2312" w:cs="仿宋_GB2312" w:eastAsia="仿宋_GB2312"/>
                <w:sz w:val="22"/>
              </w:rPr>
              <w:t>≥</w:t>
            </w:r>
            <w:r>
              <w:rPr>
                <w:rFonts w:ascii="仿宋_GB2312" w:hAnsi="仿宋_GB2312" w:cs="仿宋_GB2312" w:eastAsia="仿宋_GB2312"/>
                <w:sz w:val="22"/>
              </w:rPr>
              <w:t>150kPa，埋深</w:t>
            </w:r>
            <w:r>
              <w:rPr>
                <w:rFonts w:ascii="仿宋_GB2312" w:hAnsi="仿宋_GB2312" w:cs="仿宋_GB2312" w:eastAsia="仿宋_GB2312"/>
                <w:sz w:val="22"/>
              </w:rPr>
              <w:t>≥</w:t>
            </w:r>
            <w:r>
              <w:rPr>
                <w:rFonts w:ascii="仿宋_GB2312" w:hAnsi="仿宋_GB2312" w:cs="仿宋_GB2312" w:eastAsia="仿宋_GB2312"/>
                <w:sz w:val="22"/>
              </w:rPr>
              <w:t>1000mm</w:t>
            </w:r>
            <w:r>
              <w:rPr>
                <w:rFonts w:ascii="仿宋_GB2312" w:hAnsi="仿宋_GB2312" w:cs="仿宋_GB2312" w:eastAsia="仿宋_GB2312"/>
                <w:sz w:val="22"/>
              </w:rPr>
              <w:t>，</w:t>
            </w:r>
            <w:r>
              <w:rPr>
                <w:rFonts w:ascii="仿宋_GB2312" w:hAnsi="仿宋_GB2312" w:cs="仿宋_GB2312" w:eastAsia="仿宋_GB2312"/>
                <w:sz w:val="22"/>
              </w:rPr>
              <w:t>宽</w:t>
            </w:r>
            <w:r>
              <w:rPr>
                <w:rFonts w:ascii="仿宋_GB2312" w:hAnsi="仿宋_GB2312" w:cs="仿宋_GB2312" w:eastAsia="仿宋_GB2312"/>
                <w:sz w:val="22"/>
              </w:rPr>
              <w:t>≥</w:t>
            </w:r>
            <w:r>
              <w:rPr>
                <w:rFonts w:ascii="仿宋_GB2312" w:hAnsi="仿宋_GB2312" w:cs="仿宋_GB2312" w:eastAsia="仿宋_GB2312"/>
                <w:sz w:val="22"/>
              </w:rPr>
              <w:t>800mm</w:t>
            </w:r>
            <w:r>
              <w:rPr>
                <w:rFonts w:ascii="仿宋_GB2312" w:hAnsi="仿宋_GB2312" w:cs="仿宋_GB2312" w:eastAsia="仿宋_GB2312"/>
                <w:sz w:val="22"/>
              </w:rPr>
              <w:t>；</w:t>
            </w:r>
            <w:r>
              <w:rPr>
                <w:rFonts w:ascii="仿宋_GB2312" w:hAnsi="仿宋_GB2312" w:cs="仿宋_GB2312" w:eastAsia="仿宋_GB2312"/>
                <w:sz w:val="22"/>
              </w:rPr>
              <w:t>3:7 灰土垫层</w:t>
            </w:r>
            <w:r>
              <w:rPr>
                <w:rFonts w:ascii="仿宋_GB2312" w:hAnsi="仿宋_GB2312" w:cs="仿宋_GB2312" w:eastAsia="仿宋_GB2312"/>
                <w:sz w:val="22"/>
              </w:rPr>
              <w:t>约</w:t>
            </w:r>
            <w:r>
              <w:rPr>
                <w:rFonts w:ascii="仿宋_GB2312" w:hAnsi="仿宋_GB2312" w:cs="仿宋_GB2312" w:eastAsia="仿宋_GB2312"/>
                <w:sz w:val="22"/>
              </w:rPr>
              <w:t>18m³</w:t>
            </w:r>
            <w:r>
              <w:rPr>
                <w:rFonts w:ascii="仿宋_GB2312" w:hAnsi="仿宋_GB2312" w:cs="仿宋_GB2312" w:eastAsia="仿宋_GB2312"/>
                <w:sz w:val="22"/>
              </w:rPr>
              <w:t>（厚</w:t>
            </w:r>
            <w:r>
              <w:rPr>
                <w:rFonts w:ascii="仿宋_GB2312" w:hAnsi="仿宋_GB2312" w:cs="仿宋_GB2312" w:eastAsia="仿宋_GB2312"/>
                <w:sz w:val="22"/>
              </w:rPr>
              <w:t>0.3m）；可抵御 8 级及以下风力，沉降量</w:t>
            </w:r>
            <w:r>
              <w:rPr>
                <w:rFonts w:ascii="仿宋_GB2312" w:hAnsi="仿宋_GB2312" w:cs="仿宋_GB2312" w:eastAsia="仿宋_GB2312"/>
                <w:sz w:val="22"/>
              </w:rPr>
              <w:t>≤</w:t>
            </w:r>
            <w:r>
              <w:rPr>
                <w:rFonts w:ascii="仿宋_GB2312" w:hAnsi="仿宋_GB2312" w:cs="仿宋_GB2312" w:eastAsia="仿宋_GB2312"/>
                <w:sz w:val="22"/>
              </w:rPr>
              <w:t>5mm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③</w:t>
            </w:r>
            <w:r>
              <w:rPr>
                <w:rFonts w:ascii="仿宋_GB2312" w:hAnsi="仿宋_GB2312" w:cs="仿宋_GB2312" w:eastAsia="仿宋_GB2312"/>
                <w:sz w:val="22"/>
              </w:rPr>
              <w:t>环境适配：围栏用低饱和度色系（浅灰色、墨绿色），材质不释放有毒有害物质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2、工程内容</w:t>
            </w:r>
          </w:p>
          <w:p>
            <w:pPr>
              <w:pStyle w:val="null3"/>
              <w:ind w:firstLine="440"/>
              <w:jc w:val="both"/>
            </w:pPr>
            <w:r>
              <w:rPr>
                <w:rFonts w:ascii="仿宋_GB2312" w:hAnsi="仿宋_GB2312" w:cs="仿宋_GB2312" w:eastAsia="仿宋_GB2312"/>
                <w:sz w:val="22"/>
              </w:rPr>
              <w:t>完成</w:t>
            </w:r>
            <w:r>
              <w:rPr>
                <w:rFonts w:ascii="仿宋_GB2312" w:hAnsi="仿宋_GB2312" w:cs="仿宋_GB2312" w:eastAsia="仿宋_GB2312"/>
                <w:sz w:val="22"/>
              </w:rPr>
              <w:t>拆除原有</w:t>
            </w:r>
            <w:r>
              <w:rPr>
                <w:rFonts w:ascii="仿宋_GB2312" w:hAnsi="仿宋_GB2312" w:cs="仿宋_GB2312" w:eastAsia="仿宋_GB2312"/>
                <w:sz w:val="22"/>
              </w:rPr>
              <w:t>铁丝网</w:t>
            </w:r>
            <w:r>
              <w:rPr>
                <w:rFonts w:ascii="仿宋_GB2312" w:hAnsi="仿宋_GB2312" w:cs="仿宋_GB2312" w:eastAsia="仿宋_GB2312"/>
                <w:sz w:val="22"/>
              </w:rPr>
              <w:t>1500米、地基开挖</w:t>
            </w:r>
            <w:r>
              <w:rPr>
                <w:rFonts w:ascii="仿宋_GB2312" w:hAnsi="仿宋_GB2312" w:cs="仿宋_GB2312" w:eastAsia="仿宋_GB2312"/>
                <w:sz w:val="22"/>
              </w:rPr>
              <w:t>约</w:t>
            </w:r>
            <w:r>
              <w:rPr>
                <w:rFonts w:ascii="仿宋_GB2312" w:hAnsi="仿宋_GB2312" w:cs="仿宋_GB2312" w:eastAsia="仿宋_GB2312"/>
                <w:sz w:val="22"/>
              </w:rPr>
              <w:t>320m</w:t>
            </w:r>
            <w:r>
              <w:rPr>
                <w:rFonts w:ascii="仿宋_GB2312" w:hAnsi="仿宋_GB2312" w:cs="仿宋_GB2312" w:eastAsia="仿宋_GB2312"/>
                <w:sz w:val="22"/>
              </w:rPr>
              <w:t>³</w:t>
            </w:r>
            <w:r>
              <w:rPr>
                <w:rFonts w:ascii="仿宋_GB2312" w:hAnsi="仿宋_GB2312" w:cs="仿宋_GB2312" w:eastAsia="仿宋_GB2312"/>
                <w:sz w:val="22"/>
              </w:rPr>
              <w:t>、预埋件安装</w:t>
            </w:r>
            <w:r>
              <w:rPr>
                <w:rFonts w:ascii="仿宋_GB2312" w:hAnsi="仿宋_GB2312" w:cs="仿宋_GB2312" w:eastAsia="仿宋_GB2312"/>
                <w:sz w:val="22"/>
              </w:rPr>
              <w:t>约</w:t>
            </w:r>
            <w:r>
              <w:rPr>
                <w:rFonts w:ascii="仿宋_GB2312" w:hAnsi="仿宋_GB2312" w:cs="仿宋_GB2312" w:eastAsia="仿宋_GB2312"/>
                <w:sz w:val="22"/>
              </w:rPr>
              <w:t>500 块、基础混凝土浇筑</w:t>
            </w:r>
            <w:r>
              <w:rPr>
                <w:rFonts w:ascii="仿宋_GB2312" w:hAnsi="仿宋_GB2312" w:cs="仿宋_GB2312" w:eastAsia="仿宋_GB2312"/>
                <w:sz w:val="22"/>
              </w:rPr>
              <w:t>约</w:t>
            </w:r>
            <w:r>
              <w:rPr>
                <w:rFonts w:ascii="仿宋_GB2312" w:hAnsi="仿宋_GB2312" w:cs="仿宋_GB2312" w:eastAsia="仿宋_GB2312"/>
                <w:sz w:val="22"/>
              </w:rPr>
              <w:t>90m</w:t>
            </w:r>
            <w:r>
              <w:rPr>
                <w:rFonts w:ascii="仿宋_GB2312" w:hAnsi="仿宋_GB2312" w:cs="仿宋_GB2312" w:eastAsia="仿宋_GB2312"/>
                <w:sz w:val="22"/>
              </w:rPr>
              <w:t>³</w:t>
            </w:r>
            <w:r>
              <w:rPr>
                <w:rFonts w:ascii="仿宋_GB2312" w:hAnsi="仿宋_GB2312" w:cs="仿宋_GB2312" w:eastAsia="仿宋_GB2312"/>
                <w:sz w:val="22"/>
              </w:rPr>
              <w:t>、灰土垫层施工</w:t>
            </w:r>
            <w:r>
              <w:rPr>
                <w:rFonts w:ascii="仿宋_GB2312" w:hAnsi="仿宋_GB2312" w:cs="仿宋_GB2312" w:eastAsia="仿宋_GB2312"/>
                <w:sz w:val="22"/>
              </w:rPr>
              <w:t>约</w:t>
            </w:r>
            <w:r>
              <w:rPr>
                <w:rFonts w:ascii="仿宋_GB2312" w:hAnsi="仿宋_GB2312" w:cs="仿宋_GB2312" w:eastAsia="仿宋_GB2312"/>
                <w:sz w:val="22"/>
              </w:rPr>
              <w:t>18m</w:t>
            </w:r>
            <w:r>
              <w:rPr>
                <w:rFonts w:ascii="仿宋_GB2312" w:hAnsi="仿宋_GB2312" w:cs="仿宋_GB2312" w:eastAsia="仿宋_GB2312"/>
                <w:sz w:val="22"/>
              </w:rPr>
              <w:t>³</w:t>
            </w:r>
            <w:r>
              <w:rPr>
                <w:rFonts w:ascii="仿宋_GB2312" w:hAnsi="仿宋_GB2312" w:cs="仿宋_GB2312" w:eastAsia="仿宋_GB2312"/>
                <w:sz w:val="22"/>
              </w:rPr>
              <w:t>、基础回填、</w:t>
            </w:r>
            <w:r>
              <w:rPr>
                <w:rFonts w:ascii="仿宋_GB2312" w:hAnsi="仿宋_GB2312" w:cs="仿宋_GB2312" w:eastAsia="仿宋_GB2312"/>
                <w:sz w:val="22"/>
              </w:rPr>
              <w:t>新</w:t>
            </w:r>
            <w:r>
              <w:rPr>
                <w:rFonts w:ascii="仿宋_GB2312" w:hAnsi="仿宋_GB2312" w:cs="仿宋_GB2312" w:eastAsia="仿宋_GB2312"/>
                <w:sz w:val="22"/>
              </w:rPr>
              <w:t>围栏安装</w:t>
            </w:r>
            <w:r>
              <w:rPr>
                <w:rFonts w:ascii="仿宋_GB2312" w:hAnsi="仿宋_GB2312" w:cs="仿宋_GB2312" w:eastAsia="仿宋_GB2312"/>
                <w:sz w:val="22"/>
              </w:rPr>
              <w:t>1500米、余土外运</w:t>
            </w:r>
            <w:r>
              <w:rPr>
                <w:rFonts w:ascii="仿宋_GB2312" w:hAnsi="仿宋_GB2312" w:cs="仿宋_GB2312" w:eastAsia="仿宋_GB2312"/>
                <w:sz w:val="22"/>
              </w:rPr>
              <w:t>约</w:t>
            </w:r>
            <w:r>
              <w:rPr>
                <w:rFonts w:ascii="仿宋_GB2312" w:hAnsi="仿宋_GB2312" w:cs="仿宋_GB2312" w:eastAsia="仿宋_GB2312"/>
                <w:sz w:val="22"/>
              </w:rPr>
              <w:t>320m</w:t>
            </w:r>
            <w:r>
              <w:rPr>
                <w:rFonts w:ascii="仿宋_GB2312" w:hAnsi="仿宋_GB2312" w:cs="仿宋_GB2312" w:eastAsia="仿宋_GB2312"/>
                <w:sz w:val="22"/>
              </w:rPr>
              <w:t>³</w:t>
            </w:r>
            <w:r>
              <w:rPr>
                <w:rFonts w:ascii="仿宋_GB2312" w:hAnsi="仿宋_GB2312" w:cs="仿宋_GB2312" w:eastAsia="仿宋_GB2312"/>
                <w:sz w:val="22"/>
              </w:rPr>
              <w:t>等</w:t>
            </w:r>
            <w:r>
              <w:rPr>
                <w:rFonts w:ascii="仿宋_GB2312" w:hAnsi="仿宋_GB2312" w:cs="仿宋_GB2312" w:eastAsia="仿宋_GB2312"/>
                <w:sz w:val="22"/>
              </w:rPr>
              <w:t>完成本项目</w:t>
            </w:r>
            <w:r>
              <w:rPr>
                <w:rFonts w:ascii="仿宋_GB2312" w:hAnsi="仿宋_GB2312" w:cs="仿宋_GB2312" w:eastAsia="仿宋_GB2312"/>
                <w:sz w:val="22"/>
              </w:rPr>
              <w:t>全部工作</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3、质量要求</w:t>
            </w:r>
          </w:p>
          <w:p>
            <w:pPr>
              <w:pStyle w:val="null3"/>
              <w:jc w:val="both"/>
            </w:pPr>
            <w:r>
              <w:rPr>
                <w:rFonts w:ascii="仿宋_GB2312" w:hAnsi="仿宋_GB2312" w:cs="仿宋_GB2312" w:eastAsia="仿宋_GB2312"/>
                <w:sz w:val="22"/>
              </w:rPr>
              <w:t>Q235B钢材</w:t>
            </w:r>
            <w:r>
              <w:rPr>
                <w:rFonts w:ascii="仿宋_GB2312" w:hAnsi="仿宋_GB2312" w:cs="仿宋_GB2312" w:eastAsia="仿宋_GB2312"/>
                <w:sz w:val="22"/>
              </w:rPr>
              <w:t>须</w:t>
            </w:r>
            <w:r>
              <w:rPr>
                <w:rFonts w:ascii="仿宋_GB2312" w:hAnsi="仿宋_GB2312" w:cs="仿宋_GB2312" w:eastAsia="仿宋_GB2312"/>
                <w:sz w:val="22"/>
              </w:rPr>
              <w:t>符合《碳素结构钢》（</w:t>
            </w:r>
            <w:r>
              <w:rPr>
                <w:rFonts w:ascii="仿宋_GB2312" w:hAnsi="仿宋_GB2312" w:cs="仿宋_GB2312" w:eastAsia="仿宋_GB2312"/>
                <w:sz w:val="22"/>
              </w:rPr>
              <w:t>GB/T 700 - 2006）</w:t>
            </w:r>
            <w:r>
              <w:rPr>
                <w:rFonts w:ascii="仿宋_GB2312" w:hAnsi="仿宋_GB2312" w:cs="仿宋_GB2312" w:eastAsia="仿宋_GB2312"/>
                <w:sz w:val="22"/>
              </w:rPr>
              <w:t>、</w:t>
            </w:r>
            <w:r>
              <w:rPr>
                <w:rFonts w:ascii="仿宋_GB2312" w:hAnsi="仿宋_GB2312" w:cs="仿宋_GB2312" w:eastAsia="仿宋_GB2312"/>
                <w:sz w:val="22"/>
              </w:rPr>
              <w:t>混凝土</w:t>
            </w:r>
            <w:r>
              <w:rPr>
                <w:rFonts w:ascii="仿宋_GB2312" w:hAnsi="仿宋_GB2312" w:cs="仿宋_GB2312" w:eastAsia="仿宋_GB2312"/>
                <w:sz w:val="22"/>
              </w:rPr>
              <w:t>须符合</w:t>
            </w:r>
            <w:r>
              <w:rPr>
                <w:rFonts w:ascii="仿宋_GB2312" w:hAnsi="仿宋_GB2312" w:cs="仿宋_GB2312" w:eastAsia="仿宋_GB2312"/>
                <w:sz w:val="22"/>
              </w:rPr>
              <w:t>《混凝土结构设计规范》（</w:t>
            </w:r>
            <w:r>
              <w:rPr>
                <w:rFonts w:ascii="仿宋_GB2312" w:hAnsi="仿宋_GB2312" w:cs="仿宋_GB2312" w:eastAsia="仿宋_GB2312"/>
                <w:sz w:val="22"/>
              </w:rPr>
              <w:t>GB 50010 - 2010）等国家规范、防腐涂料</w:t>
            </w:r>
            <w:r>
              <w:rPr>
                <w:rFonts w:ascii="仿宋_GB2312" w:hAnsi="仿宋_GB2312" w:cs="仿宋_GB2312" w:eastAsia="仿宋_GB2312"/>
                <w:sz w:val="22"/>
              </w:rPr>
              <w:t>须符合</w:t>
            </w:r>
            <w:r>
              <w:rPr>
                <w:rFonts w:ascii="仿宋_GB2312" w:hAnsi="仿宋_GB2312" w:cs="仿宋_GB2312" w:eastAsia="仿宋_GB2312"/>
                <w:sz w:val="22"/>
              </w:rPr>
              <w:t>《室内装饰装修材料溶剂型木器涂料中有害物质限量》（</w:t>
            </w:r>
            <w:r>
              <w:rPr>
                <w:rFonts w:ascii="仿宋_GB2312" w:hAnsi="仿宋_GB2312" w:cs="仿宋_GB2312" w:eastAsia="仿宋_GB2312"/>
                <w:sz w:val="22"/>
              </w:rPr>
              <w:t>GB 18581 - 2020）环保要求</w:t>
            </w:r>
            <w:r>
              <w:rPr>
                <w:rFonts w:ascii="仿宋_GB2312" w:hAnsi="仿宋_GB2312" w:cs="仿宋_GB2312" w:eastAsia="仿宋_GB2312"/>
                <w:sz w:val="22"/>
              </w:rPr>
              <w:t>，</w:t>
            </w:r>
            <w:r>
              <w:rPr>
                <w:rFonts w:ascii="仿宋_GB2312" w:hAnsi="仿宋_GB2312" w:cs="仿宋_GB2312" w:eastAsia="仿宋_GB2312"/>
                <w:sz w:val="22"/>
              </w:rPr>
              <w:t>且以上所有材料须提供</w:t>
            </w:r>
            <w:r>
              <w:rPr>
                <w:rFonts w:ascii="仿宋_GB2312" w:hAnsi="仿宋_GB2312" w:cs="仿宋_GB2312" w:eastAsia="仿宋_GB2312"/>
                <w:sz w:val="22"/>
              </w:rPr>
              <w:t>产品合格证明</w:t>
            </w:r>
            <w:r>
              <w:rPr>
                <w:rFonts w:ascii="仿宋_GB2312" w:hAnsi="仿宋_GB2312" w:cs="仿宋_GB2312" w:eastAsia="仿宋_GB2312"/>
                <w:sz w:val="22"/>
              </w:rPr>
              <w:t>及</w:t>
            </w:r>
            <w:r>
              <w:rPr>
                <w:rFonts w:ascii="仿宋_GB2312" w:hAnsi="仿宋_GB2312" w:cs="仿宋_GB2312" w:eastAsia="仿宋_GB2312"/>
                <w:sz w:val="22"/>
              </w:rPr>
              <w:t>第三方检测报告</w:t>
            </w:r>
            <w:r>
              <w:rPr>
                <w:rFonts w:ascii="仿宋_GB2312" w:hAnsi="仿宋_GB2312" w:cs="仿宋_GB2312" w:eastAsia="仿宋_GB2312"/>
                <w:sz w:val="2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满足磋商文件要求，符合国家、地方相关法律法规、技术标准和规范要求；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1、针对于本项目要求合理的施工方法，先进的施工工艺，达到降本增效的目的。 2、供应商须配备合理的施工机具及劳动力保证本项目按期完工。 3、针对本项目，供应商有明确的质量保证措施，把握本项目的关键部位施工，确保工程质量达到合格标准。 4、项目团队 须有科学严谨的组织机构，人员岗位清晰明确，至少包含：项目经理、技术负责人、施工员、安全员、材料员、质量员、资料员等。 5、施工安全、文明及环境保护 供应商需制定专项施工安全方案，配备安全帽、安全带、防尘口罩等防护设备；施工前需踏勘现场，明确湿地周边植被分布、地下管线位置，避免施工破坏生态环境；施工期间设置安全警示标识，杜绝坠落、坍塌等安全事故。机械进场出场需规范操作，避免对场地及周边造成影响；施工期间对施工现场的场容场貌、材料进行管理，避免施工现场混乱，材料乱堆乱放；施工现场的垃圾废物等及时清运，保持现场消防安全与卫生。 6、售后服务：供应商针对本项目须有完整的售后处理措施，定期检查围挡立柱是否倾斜、基础是否沉降（尤其湿地软土地基）、连接件（螺栓、卡扣）是否松动或锈蚀、是否出现缝隙导致人员/动物误入此区域等，针对出现的问题做出相应处理措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（一）违约责任：施工单位每逾期1天按合同总金额 0.5% 支付违约金，逾期超15天，采购人有权解除合同。（二）验收要求：供应商完成全部工程后，需向采购人提交竣工申请及完整验收资料，采购人在收到申请后7个工作日内按合同约定的技术标准组织履约验收，验收合格后出具验收书，验收不合格的，供应商需在10天内完成整改并重新申请验收，整改费用由供应商自行承担。 1、验收时工程质量需满足《钢结构工程施工质量验收标准》GB 50205-2020、《混凝土结构工程施工质量验收规范》GB 50204-2015 ）及国家、地方及行业质量标准。 2、外观验收：1500 米围栏表面无划痕、变形、锈蚀，涂层均匀无褪色脱落；主/次立柱间距偏差≤5mm，连接牢固；预埋件位置偏差≤3mm 3、结构验收：基础混凝土回弹检测达C20标准；人工模拟500N水平力冲击测试无位移变形；30天沉降观测≤5mm；地基开挖、灰土垫层等施工符合规范，回填密实，达到设计要求。 4、资料验收：提交施工图纸、材料检测报告、隐蔽工程记录、竣工图、分项施工记录及费用明细等完整资料，符合档案管理规范。（三）付款方式：双方签订合同预付合同总金额的40%，项目验收合格后，达到付款条件起7日内，支付合同总金额的60%。（四）磋商小组：1.依法从省财政厅专家库中随机抽取相关专业专家2名，与1名采购人代表组成3人磋商小组。 2.磋商小组推荐一名专家担任组长，负责项目评审工作。 2.费用补偿：本项目对未成交人不进行费用补偿。（五）线上文件编制、提交：供应商编制响应文件时，应首先按磋商文件给定的目录、顺序、内容及格式进行编写、提交，其次供应商可根据其响应实际情况，在磋商文件给定的目录下增设多级子目录或其他新目录，内容目录应一一对应，页码清晰。（六）磋商评审结束后3个工作日内，成交供应商应提供纸质版响应文件（资质、商务、技术编制并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政府采购法第二十二条承诺.docx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法定代表人资格证明.docx 响应函 供应商关联关系声明.docx 禁止磋商情形承诺书.docx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2024年9月至今任意一个月完税证明及社保缴纳凭证（须含养老），依法免税或至提交首次响应文件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完税及社保缴纳凭证.docx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供应商须具备市政公用工程施工总承包或建筑工程施工总承包或钢结构工程专业承包三级（含）以上资质，并具有合格有效的安全生产许可证；</w:t>
            </w:r>
          </w:p>
        </w:tc>
        <w:tc>
          <w:tcPr>
            <w:tcW w:type="dxa" w:w="1661"/>
          </w:tcPr>
          <w:p>
            <w:pPr>
              <w:pStyle w:val="null3"/>
            </w:pPr>
            <w:r>
              <w:rPr>
                <w:rFonts w:ascii="仿宋_GB2312" w:hAnsi="仿宋_GB2312" w:cs="仿宋_GB2312" w:eastAsia="仿宋_GB2312"/>
              </w:rPr>
              <w:t>供应商资质.docx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拟派项目负责人须具备建筑工程或市政工程专业二级或二级以上的注册建造师资格，具有有效的安全生产考核 B 级证书，在本单位注册且无在建项目（提供承诺书）；</w:t>
            </w:r>
          </w:p>
        </w:tc>
        <w:tc>
          <w:tcPr>
            <w:tcW w:type="dxa" w:w="1661"/>
          </w:tcPr>
          <w:p>
            <w:pPr>
              <w:pStyle w:val="null3"/>
            </w:pPr>
            <w:r>
              <w:rPr>
                <w:rFonts w:ascii="仿宋_GB2312" w:hAnsi="仿宋_GB2312" w:cs="仿宋_GB2312" w:eastAsia="仿宋_GB2312"/>
              </w:rPr>
              <w:t>项目负责人资格证明.docx 无在建工程承诺书.docx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供应商及拟派项目负责人基本信息</w:t>
            </w:r>
          </w:p>
        </w:tc>
        <w:tc>
          <w:tcPr>
            <w:tcW w:type="dxa" w:w="3322"/>
          </w:tcPr>
          <w:p>
            <w:pPr>
              <w:pStyle w:val="null3"/>
            </w:pPr>
            <w:r>
              <w:rPr>
                <w:rFonts w:ascii="仿宋_GB2312" w:hAnsi="仿宋_GB2312" w:cs="仿宋_GB2312" w:eastAsia="仿宋_GB2312"/>
              </w:rPr>
              <w:t>供应商及拟派项目负责人须在“陕西省建筑市场监管与诚信信息发布平台” （https://61.185.253.130:14190/sxjzscqy/serviceportal/portalsite/index/index）中查询到基本信息；</w:t>
            </w:r>
          </w:p>
        </w:tc>
        <w:tc>
          <w:tcPr>
            <w:tcW w:type="dxa" w:w="1661"/>
          </w:tcPr>
          <w:p>
            <w:pPr>
              <w:pStyle w:val="null3"/>
            </w:pPr>
            <w:r>
              <w:rPr>
                <w:rFonts w:ascii="仿宋_GB2312" w:hAnsi="仿宋_GB2312" w:cs="仿宋_GB2312" w:eastAsia="仿宋_GB2312"/>
              </w:rPr>
              <w:t>供应商及拟派项目负责人基本信息.docx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供应商在参加本采购活动前三年内（2022年9月至提交首次响应文件截止时间止）在经营活动中无重大违法违规记录、无重大行政处罚、无重大安全事故的书面声明；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提供磋商保证金凭证或磋商保函</w:t>
            </w:r>
          </w:p>
        </w:tc>
        <w:tc>
          <w:tcPr>
            <w:tcW w:type="dxa" w:w="3322"/>
          </w:tcPr>
          <w:p>
            <w:pPr>
              <w:pStyle w:val="null3"/>
            </w:pPr>
            <w:r>
              <w:rPr>
                <w:rFonts w:ascii="仿宋_GB2312" w:hAnsi="仿宋_GB2312" w:cs="仿宋_GB2312" w:eastAsia="仿宋_GB2312"/>
              </w:rPr>
              <w:t>缴纳磋商保证金；</w:t>
            </w:r>
          </w:p>
        </w:tc>
        <w:tc>
          <w:tcPr>
            <w:tcW w:type="dxa" w:w="1661"/>
          </w:tcPr>
          <w:p>
            <w:pPr>
              <w:pStyle w:val="null3"/>
            </w:pPr>
            <w:r>
              <w:rPr>
                <w:rFonts w:ascii="仿宋_GB2312" w:hAnsi="仿宋_GB2312" w:cs="仿宋_GB2312" w:eastAsia="仿宋_GB2312"/>
              </w:rPr>
              <w:t>磋商保函格式.docx 保证金缴纳凭证.docx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禁止磋商情形</w:t>
            </w:r>
          </w:p>
        </w:tc>
        <w:tc>
          <w:tcPr>
            <w:tcW w:type="dxa" w:w="3322"/>
          </w:tcPr>
          <w:p>
            <w:pPr>
              <w:pStyle w:val="null3"/>
            </w:pPr>
            <w:r>
              <w:rPr>
                <w:rFonts w:ascii="仿宋_GB2312" w:hAnsi="仿宋_GB2312" w:cs="仿宋_GB2312" w:eastAsia="仿宋_GB2312"/>
              </w:rPr>
              <w:t>禁止磋商情形：①法定代表人或负责人为同一人或存在直接控股、管理关系的不同单位，不得同时参加本项目磋商；②与采购人存在利害关系的单位不得参加本项目磋商；③法律法规规定的其他禁止磋商情形；</w:t>
            </w:r>
          </w:p>
        </w:tc>
        <w:tc>
          <w:tcPr>
            <w:tcW w:type="dxa" w:w="1661"/>
          </w:tcPr>
          <w:p>
            <w:pPr>
              <w:pStyle w:val="null3"/>
            </w:pPr>
            <w:r>
              <w:rPr>
                <w:rFonts w:ascii="仿宋_GB2312" w:hAnsi="仿宋_GB2312" w:cs="仿宋_GB2312" w:eastAsia="仿宋_GB2312"/>
              </w:rPr>
              <w:t>法定代表人关联关系声明.docx 供应商关联关系声明.docx 禁止磋商情形承诺书.docx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提供非联合体磋商声明函</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磋商首次报价</w:t>
            </w:r>
          </w:p>
        </w:tc>
        <w:tc>
          <w:tcPr>
            <w:tcW w:type="dxa" w:w="3322"/>
          </w:tcPr>
          <w:p>
            <w:pPr>
              <w:pStyle w:val="null3"/>
            </w:pPr>
            <w:r>
              <w:rPr>
                <w:rFonts w:ascii="仿宋_GB2312" w:hAnsi="仿宋_GB2312" w:cs="仿宋_GB2312" w:eastAsia="仿宋_GB2312"/>
              </w:rPr>
              <w:t>磋商总报价唯一且未超过预算：650,000.00元。</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实质性响应合同要求</w:t>
            </w:r>
          </w:p>
        </w:tc>
        <w:tc>
          <w:tcPr>
            <w:tcW w:type="dxa" w:w="1661"/>
          </w:tcPr>
          <w:p>
            <w:pPr>
              <w:pStyle w:val="null3"/>
            </w:pPr>
            <w:r>
              <w:rPr>
                <w:rFonts w:ascii="仿宋_GB2312" w:hAnsi="仿宋_GB2312" w:cs="仿宋_GB2312" w:eastAsia="仿宋_GB2312"/>
              </w:rPr>
              <w:t>磋商响应偏离表.docx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磋商承诺</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供应商应保证在本项目使用的任何产品和服务的任何一部分，不会产生因第三方提出的侵犯其专利权、商标权、著作权或其它知识产权而引起的法律和经济纠纷，由此引起的纠纷，由供应商承担所有相关责任；②本项目履行中形成的知识成果、知识产权和其他权益均归采购人所有（如设计、订购、定制开发产品等）。③供应商如欲在项目实施过程中采用自有知识成果，需在响应文件中声明，并提供相关知识产权证明文件。使用该知识成果后，供应商须提供开发接口和开发手册等技术文档，并承诺提供无限期技术支持，采购人享有永久使用权;④采购人或者成交人若需采用其他未成交人响应文件中设计方案的，应当征得未成交人的书面同意，并协商一致后支付合理的使用费。</w:t>
            </w:r>
          </w:p>
        </w:tc>
        <w:tc>
          <w:tcPr>
            <w:tcW w:type="dxa" w:w="1661"/>
          </w:tcPr>
          <w:p>
            <w:pPr>
              <w:pStyle w:val="null3"/>
            </w:pPr>
            <w:r>
              <w:rPr>
                <w:rFonts w:ascii="仿宋_GB2312" w:hAnsi="仿宋_GB2312" w:cs="仿宋_GB2312" w:eastAsia="仿宋_GB2312"/>
              </w:rPr>
              <w:t>磋商响应偏离表.docx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（1）评审内容： ①施工方法②施工工序③施工工艺④主要施工工具设备⑤成本控制⑥进度安排⑦劳动力计划投入等七项。 （2）赋分规则： 每项得2分，各分项根据方案的针对性、有效性进行赋分：①针对性赋【0，1】分；②有效性赋【0，1】分。 注：1.针对性：紧扣主体及项目场景，匹配项目实情；2.有效性：方案可落地、可执行，能预期达到目标（以下同）。</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施工方案与技术措施.docx</w:t>
            </w:r>
          </w:p>
          <w:p>
            <w:pPr>
              <w:pStyle w:val="null3"/>
            </w:pPr>
            <w:r>
              <w:rPr>
                <w:rFonts w:ascii="仿宋_GB2312" w:hAnsi="仿宋_GB2312" w:cs="仿宋_GB2312" w:eastAsia="仿宋_GB2312"/>
              </w:rPr>
              <w:t>劳动力计划表.docx</w:t>
            </w:r>
          </w:p>
          <w:p>
            <w:pPr>
              <w:pStyle w:val="null3"/>
            </w:pPr>
            <w:r>
              <w:rPr>
                <w:rFonts w:ascii="仿宋_GB2312" w:hAnsi="仿宋_GB2312" w:cs="仿宋_GB2312" w:eastAsia="仿宋_GB2312"/>
              </w:rPr>
              <w:t>拟配备本工程的试验和检测仪器设备表.docx</w:t>
            </w:r>
          </w:p>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拟供材料</w:t>
            </w:r>
          </w:p>
        </w:tc>
        <w:tc>
          <w:tcPr>
            <w:tcW w:type="dxa" w:w="2492"/>
          </w:tcPr>
          <w:p>
            <w:pPr>
              <w:pStyle w:val="null3"/>
            </w:pPr>
            <w:r>
              <w:rPr>
                <w:rFonts w:ascii="仿宋_GB2312" w:hAnsi="仿宋_GB2312" w:cs="仿宋_GB2312" w:eastAsia="仿宋_GB2312"/>
              </w:rPr>
              <w:t>1、佐证资料 （1）评审内容：提供围栏材质为 Q235B 钢材，C20 混凝土、强度等级、耐久等级的佐证资料证明。 （2）赋分规则：全部符合要求得2分，否则不得分；2、围栏采购制作 （1）评审内容： ①原材料采购②包装运输③焊接工艺④喷涂处理⑤防腐处理等五项。 （2）赋分规则： 每项得2分，共计10分，各分项根据方案的针对性、有效性进行赋分：①针对性赋【0，1】分，②有效性赋【0，1】分； 3、混凝土 （1）评审内容： ①采购供应②运输方案③养护方法等三项。 （2）赋分规则 每项得1分，共计3分，各分项根据方案的针对性、有效性进行赋分：①针对性赋【0，0.5】分，②有效性赋【0，0.5】分。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拟供材料.docx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拟派项目团队配置清单：包含但不仅限于技术负责人、施工员、质量员、安全员、材料员、资料员，提供人员身份信息及岗位资格证书，提供齐全得12分，每少1人或资料提供不齐全扣2分，扣完为止。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项目管理机构.docx</w:t>
            </w:r>
          </w:p>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安全生产方案</w:t>
            </w:r>
          </w:p>
        </w:tc>
        <w:tc>
          <w:tcPr>
            <w:tcW w:type="dxa" w:w="2492"/>
          </w:tcPr>
          <w:p>
            <w:pPr>
              <w:pStyle w:val="null3"/>
            </w:pPr>
            <w:r>
              <w:rPr>
                <w:rFonts w:ascii="仿宋_GB2312" w:hAnsi="仿宋_GB2312" w:cs="仿宋_GB2312" w:eastAsia="仿宋_GB2312"/>
              </w:rPr>
              <w:t>（1）评审内容： ①安全生产管理制度②安全保证体系③安全考核及奖惩④安全教育培训等四项。 （2）赋分规则： 每项得0.5分，各分项根据方案的针对性、有效性进行赋分：①针对性赋【0，0.2】分，②有效性赋【0，0.3】分。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文明施工及环境保护方案</w:t>
            </w:r>
          </w:p>
        </w:tc>
        <w:tc>
          <w:tcPr>
            <w:tcW w:type="dxa" w:w="2492"/>
          </w:tcPr>
          <w:p>
            <w:pPr>
              <w:pStyle w:val="null3"/>
            </w:pPr>
            <w:r>
              <w:rPr>
                <w:rFonts w:ascii="仿宋_GB2312" w:hAnsi="仿宋_GB2312" w:cs="仿宋_GB2312" w:eastAsia="仿宋_GB2312"/>
              </w:rPr>
              <w:t>（1）评审内容： ①场容场貌管理②现场材料管理③设备设施管理④噪声污染⑤垃圾废物堆放与清运⑥消防卫生⑦大气污染防治⑧噪声污染等八项。 （2）赋分规则： 每项得0.5分，各分项根据方案的针对性、有效性进行赋分：①针对性赋【0，0.2】分，②有效性赋【0，0.3】分。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文明施工及环境保护方案.docx</w:t>
            </w:r>
          </w:p>
        </w:tc>
      </w:tr>
      <w:tr>
        <w:tc>
          <w:tcPr>
            <w:tcW w:type="dxa" w:w="831"/>
            <w:vMerge/>
          </w:tcPr>
          <w:p/>
        </w:tc>
        <w:tc>
          <w:tcPr>
            <w:tcW w:type="dxa" w:w="1661"/>
          </w:tcPr>
          <w:p>
            <w:pPr>
              <w:pStyle w:val="null3"/>
            </w:pPr>
            <w:r>
              <w:rPr>
                <w:rFonts w:ascii="仿宋_GB2312" w:hAnsi="仿宋_GB2312" w:cs="仿宋_GB2312" w:eastAsia="仿宋_GB2312"/>
              </w:rPr>
              <w:t>质量保证体系与措施</w:t>
            </w:r>
          </w:p>
        </w:tc>
        <w:tc>
          <w:tcPr>
            <w:tcW w:type="dxa" w:w="2492"/>
          </w:tcPr>
          <w:p>
            <w:pPr>
              <w:pStyle w:val="null3"/>
            </w:pPr>
            <w:r>
              <w:rPr>
                <w:rFonts w:ascii="仿宋_GB2312" w:hAnsi="仿宋_GB2312" w:cs="仿宋_GB2312" w:eastAsia="仿宋_GB2312"/>
              </w:rPr>
              <w:t>（1）评审内容： ①确保工程质量的技术组织措施②质量管理制度③保证措施④质量目标等四项。 （2）赋分规则： 每项得1分，各分项根据方案的针对性、有效性进行赋分：①针对性赋【0，0.5】分，②有效性赋【0，0.5】分。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质量保证体系与措施.docx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 ①本项目可能出现的突发事件②针对突发事件进行风险预测分析与防范等两项。 （2）赋分规则： 每项得1分。各项根据方案的针对性、有效性进行赋分：①针对性赋【0，0.5】分，②有效性赋【0，0.5】分。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①定期检查措施②围挡倾斜处理措施③基础沉降处理措施④连接件（螺栓、卡扣）松动或锈蚀处理措施⑤缝隙处理措施⑥人为破坏处理及防治措施等六项。 （2）赋分规则： 每项得0.5分，各分项根据方案的针对性、有效性进行赋分：①针对性赋【0，0.2】分，②有效性赋【0，0.3】分。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2022年1月至今类似项目业绩，每提供1份得2分，最多得4分。要求：至少包含合同主页、双方签字盖章页等，并在合同每页加盖供应商公章。若无法辨别，则不计分。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业绩合同清单.docx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1）磋商基准价=最低磋商报价（最终），其价格分为 40分。 2）报价得分=磋商基准价/磋商最终报价×40。 3）四舍五入，取小数点后两位，不计负分。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详见附件：安全生产方案.docx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详见附件：磋商保函格式.docx</w:t>
      </w:r>
    </w:p>
    <w:p>
      <w:pPr>
        <w:pStyle w:val="null3"/>
        <w:ind w:firstLine="960"/>
      </w:pPr>
      <w:r>
        <w:rPr>
          <w:rFonts w:ascii="仿宋_GB2312" w:hAnsi="仿宋_GB2312" w:cs="仿宋_GB2312" w:eastAsia="仿宋_GB2312"/>
        </w:rPr>
        <w:t>详见附件：磋商响应偏离表.docx</w:t>
      </w:r>
    </w:p>
    <w:p>
      <w:pPr>
        <w:pStyle w:val="null3"/>
        <w:ind w:firstLine="960"/>
      </w:pPr>
      <w:r>
        <w:rPr>
          <w:rFonts w:ascii="仿宋_GB2312" w:hAnsi="仿宋_GB2312" w:cs="仿宋_GB2312" w:eastAsia="仿宋_GB2312"/>
        </w:rPr>
        <w:t>详见附件：磋商承诺.docx</w:t>
      </w:r>
    </w:p>
    <w:p>
      <w:pPr>
        <w:pStyle w:val="null3"/>
        <w:ind w:firstLine="960"/>
      </w:pPr>
      <w:r>
        <w:rPr>
          <w:rFonts w:ascii="仿宋_GB2312" w:hAnsi="仿宋_GB2312" w:cs="仿宋_GB2312" w:eastAsia="仿宋_GB2312"/>
        </w:rPr>
        <w:t>详见附件：法定代表人关联关系声明.docx</w:t>
      </w:r>
    </w:p>
    <w:p>
      <w:pPr>
        <w:pStyle w:val="null3"/>
        <w:ind w:firstLine="960"/>
      </w:pPr>
      <w:r>
        <w:rPr>
          <w:rFonts w:ascii="仿宋_GB2312" w:hAnsi="仿宋_GB2312" w:cs="仿宋_GB2312" w:eastAsia="仿宋_GB2312"/>
        </w:rPr>
        <w:t>详见附件：法定代表人资格证明.docx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详见附件：供应商及拟派项目负责人基本信息.docx</w:t>
      </w:r>
    </w:p>
    <w:p>
      <w:pPr>
        <w:pStyle w:val="null3"/>
        <w:ind w:firstLine="960"/>
      </w:pPr>
      <w:r>
        <w:rPr>
          <w:rFonts w:ascii="仿宋_GB2312" w:hAnsi="仿宋_GB2312" w:cs="仿宋_GB2312" w:eastAsia="仿宋_GB2312"/>
        </w:rPr>
        <w:t>详见附件：供应商资质.docx</w:t>
      </w:r>
    </w:p>
    <w:p>
      <w:pPr>
        <w:pStyle w:val="null3"/>
        <w:ind w:firstLine="960"/>
      </w:pPr>
      <w:r>
        <w:rPr>
          <w:rFonts w:ascii="仿宋_GB2312" w:hAnsi="仿宋_GB2312" w:cs="仿宋_GB2312" w:eastAsia="仿宋_GB2312"/>
        </w:rPr>
        <w:t>详见附件：禁止磋商情形承诺书.docx</w:t>
      </w:r>
    </w:p>
    <w:p>
      <w:pPr>
        <w:pStyle w:val="null3"/>
        <w:ind w:firstLine="960"/>
      </w:pPr>
      <w:r>
        <w:rPr>
          <w:rFonts w:ascii="仿宋_GB2312" w:hAnsi="仿宋_GB2312" w:cs="仿宋_GB2312" w:eastAsia="仿宋_GB2312"/>
        </w:rPr>
        <w:t>详见附件：劳动力计划表.docx</w:t>
      </w:r>
    </w:p>
    <w:p>
      <w:pPr>
        <w:pStyle w:val="null3"/>
        <w:ind w:firstLine="960"/>
      </w:pPr>
      <w:r>
        <w:rPr>
          <w:rFonts w:ascii="仿宋_GB2312" w:hAnsi="仿宋_GB2312" w:cs="仿宋_GB2312" w:eastAsia="仿宋_GB2312"/>
        </w:rPr>
        <w:t>详见附件：拟供材料.docx</w:t>
      </w:r>
    </w:p>
    <w:p>
      <w:pPr>
        <w:pStyle w:val="null3"/>
        <w:ind w:firstLine="960"/>
      </w:pPr>
      <w:r>
        <w:rPr>
          <w:rFonts w:ascii="仿宋_GB2312" w:hAnsi="仿宋_GB2312" w:cs="仿宋_GB2312" w:eastAsia="仿宋_GB2312"/>
        </w:rPr>
        <w:t>详见附件：拟配备本工程的试验和检测仪器设备表.docx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详见附件：施工方案与技术措施.docx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详见附件：完税及社保缴纳凭证.docx</w:t>
      </w:r>
    </w:p>
    <w:p>
      <w:pPr>
        <w:pStyle w:val="null3"/>
        <w:ind w:firstLine="960"/>
      </w:pPr>
      <w:r>
        <w:rPr>
          <w:rFonts w:ascii="仿宋_GB2312" w:hAnsi="仿宋_GB2312" w:cs="仿宋_GB2312" w:eastAsia="仿宋_GB2312"/>
        </w:rPr>
        <w:t>详见附件：文明施工及环境保护方案.docx</w:t>
      </w:r>
    </w:p>
    <w:p>
      <w:pPr>
        <w:pStyle w:val="null3"/>
        <w:ind w:firstLine="960"/>
      </w:pPr>
      <w:r>
        <w:rPr>
          <w:rFonts w:ascii="仿宋_GB2312" w:hAnsi="仿宋_GB2312" w:cs="仿宋_GB2312" w:eastAsia="仿宋_GB2312"/>
        </w:rPr>
        <w:t>详见附件：无在建工程承诺书.docx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详见附件：项目负责人资格证明.docx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详见附件：业绩合同清单.docx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详见附件：政府采购法第二十二条承诺.docx</w:t>
      </w:r>
    </w:p>
    <w:p>
      <w:pPr>
        <w:pStyle w:val="null3"/>
        <w:ind w:firstLine="960"/>
      </w:pPr>
      <w:r>
        <w:rPr>
          <w:rFonts w:ascii="仿宋_GB2312" w:hAnsi="仿宋_GB2312" w:cs="仿宋_GB2312" w:eastAsia="仿宋_GB2312"/>
        </w:rPr>
        <w:t>详见附件：质量保证体系与措施.docx</w:t>
      </w:r>
    </w:p>
    <w:p>
      <w:pPr>
        <w:pStyle w:val="null3"/>
        <w:ind w:firstLine="960"/>
      </w:pPr>
      <w:r>
        <w:rPr>
          <w:rFonts w:ascii="仿宋_GB2312" w:hAnsi="仿宋_GB2312" w:cs="仿宋_GB2312" w:eastAsia="仿宋_GB2312"/>
        </w:rPr>
        <w:t>详见附件：财务报表或资信证明.docx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