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版本号：ZCSP-渭南市-2025-00731、XHLJZC-WN2025-10820250911001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交斜中队、车管所营房修缮项目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ZCSP-渭南市-2025-00731、XHLJZC-WN2025-108</w:t>
      </w:r>
      <w:r>
        <w:br/>
      </w:r>
      <w:r>
        <w:br/>
      </w:r>
      <w:r>
        <w:br/>
      </w:r>
    </w:p>
    <w:p>
      <w:pPr>
        <w:pStyle w:val="null3"/>
        <w:jc w:val="center"/>
        <w:outlineLvl w:val="2"/>
      </w:pPr>
      <w:r>
        <w:rPr>
          <w:rFonts w:ascii="仿宋_GB2312" w:hAnsi="仿宋_GB2312" w:cs="仿宋_GB2312" w:eastAsia="仿宋_GB2312"/>
          <w:sz w:val="28"/>
          <w:b/>
        </w:rPr>
        <w:t>渭南市公安局交通警察支队临渭大队</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渭南市公安局交通警察支队临渭大队</w:t>
      </w:r>
      <w:r>
        <w:rPr>
          <w:rFonts w:ascii="仿宋_GB2312" w:hAnsi="仿宋_GB2312" w:cs="仿宋_GB2312" w:eastAsia="仿宋_GB2312"/>
        </w:rPr>
        <w:t>委托，拟对</w:t>
      </w:r>
      <w:r>
        <w:rPr>
          <w:rFonts w:ascii="仿宋_GB2312" w:hAnsi="仿宋_GB2312" w:cs="仿宋_GB2312" w:eastAsia="仿宋_GB2312"/>
        </w:rPr>
        <w:t>交斜中队、车管所营房修缮项目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ZCSP-渭南市-2025-00731、XHLJZC-WN2025-108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交斜中队、车管所营房修缮项目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一包：交斜中队营房修缮，1项。二包：车管所业务大厅修缮，1项。详见磋商文件。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采购包1（渭南市公安局交通警察支队临渭大队交斜中队、车管所营房修缮项目（一包））：属于专门面向中小企业采购。</w:t>
      </w:r>
    </w:p>
    <w:p>
      <w:pPr>
        <w:pStyle w:val="null3"/>
      </w:pPr>
      <w:r>
        <w:rPr>
          <w:rFonts w:ascii="仿宋_GB2312" w:hAnsi="仿宋_GB2312" w:cs="仿宋_GB2312" w:eastAsia="仿宋_GB2312"/>
        </w:rPr>
        <w:t>采购包2（渭南市公安局交通警察支队临渭大队交斜中队、车管所营房修缮项目（二包））：属于专门面向中小企业采购。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工程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8、资质条件：（8.1）提供建筑工程施工总承包三级及以上资质； （8.2）提供有效的施工企业安全生产许可证； （8.3）项目经理须具备建筑工程专业二级及以上注册建造师证书，有效的安全生产考核合格证书（建安B证），提供无在建项目承诺。</w:t>
      </w:r>
    </w:p>
    <w:p>
      <w:pPr>
        <w:pStyle w:val="null3"/>
      </w:pPr>
      <w:r>
        <w:rPr>
          <w:rFonts w:ascii="仿宋_GB2312" w:hAnsi="仿宋_GB2312" w:cs="仿宋_GB2312" w:eastAsia="仿宋_GB2312"/>
        </w:rPr>
        <w:t>9、声明函：提供《中小企业声明函》；供应商为监狱企业的，应提供监狱企业相关资格证明材料；供应商为残疾人福利性单位的，应提供《残疾人福利性单位声明函》。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工程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8、资质条件：（8.1）提供建筑工程施工总承包三级及以上资质； （8.2）提供有效的施工企业安全生产许可证； （8.3）项目经理须具备建筑工程专业二级及以上注册建造师证书，有效的安全生产考核合格证书（建安B证），提供无在建项目承诺。</w:t>
      </w:r>
    </w:p>
    <w:p>
      <w:pPr>
        <w:pStyle w:val="null3"/>
      </w:pPr>
      <w:r>
        <w:rPr>
          <w:rFonts w:ascii="仿宋_GB2312" w:hAnsi="仿宋_GB2312" w:cs="仿宋_GB2312" w:eastAsia="仿宋_GB2312"/>
        </w:rPr>
        <w:t>9、声明函：提供《中小企业声明函》；供应商为监狱企业的，应提供监狱企业相关资格证明材料；供应商为残疾人福利性单位的，应提供《残疾人福利性单位声明函》。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渭南市公安局交通警察支队临渭大队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渭南市临渭区华山大街42号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0913-2139019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采购包1保证金金额：3,100.00元</w:t>
            </w:r>
          </w:p>
          <w:p>
            <w:pPr>
              <w:pStyle w:val="null3"/>
            </w:pPr>
            <w:r>
              <w:rPr>
                <w:rFonts w:ascii="仿宋_GB2312" w:hAnsi="仿宋_GB2312" w:cs="仿宋_GB2312" w:eastAsia="仿宋_GB2312"/>
              </w:rPr>
              <w:t>采购包2保证金金额：3,200.00元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渭南市公安局交通警察支队临渭大队</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渭南市公安局交通警察支队临渭大队</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渭南市公安局交通警察支队临渭大队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工程质量应符合国家及行业规定的建筑工程质量检验评定的“合格”标准。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工程质量应符合国家及行业规定的建筑工程质量检验评定的“合格”标准。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交斜中队营房修缮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车管所业务大厅修缮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标的名称：交斜中队营房修缮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详见工程量清单。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标的名称：车管所业务大厅修缮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合格（达到国家强制性合格标准）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采购包1： 工期：15日历日。 付款方式：合同签订后支付合同总金额的40％，整个项目竣工验收合格后支付合同总金额的60％。 质保期：整个项目竣工验收合格之日起1年。 采购包2： 工期：15日历日。 付款方式：合同签订后支付合同总金额的40％，整个项目竣工验收合格后支付合同总金额的60％。 质保期：整个项目竣工验收合格之日起1年。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（8.1）提供建筑工程施工总承包三级及以上资质； （8.2）提供有效的施工企业安全生产许可证； （8.3）项目经理须具备建筑工程专业二级及以上注册建造师证书，有效的安全生产考核合格证书（建安B证），提供无在建项目承诺。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（8.1）提供建筑工程施工总承包三级及以上资质； （8.2）提供有效的施工企业安全生产许可证； （8.3）项目经理须具备建筑工程专业二级及以上注册建造师证书，有效的安全生产考核合格证书（建安B证），提供无在建项目承诺。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（一包）已标价工程量清单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磋商保证金缴纳凭证及退还申请表 商务要求响应表 响应文件封面 技术要求响应 政府采购供应商拒绝政府采购领域商业贿赂承诺书 残疾人福利性单位声明函 报价函 供应商资格声明文件 标的清单 供应商承诺书 （一包）已标价工程量清单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报价函 标的清单 （一包）已标价工程量清单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 商务要求响应表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磋商保证金缴纳凭证及退还申请表 商务要求响应表 响应文件封面 技术要求响应 政府采购供应商拒绝政府采购领域商业贿赂承诺书 残疾人福利性单位声明函 报价函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 商务要求响应表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供应商针对本项目编制完善的施工部署，内容包含:①施工目标②施工准备③施工平面布置与安排。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 ①工程重难点及解决措施:每完全满足一个评审标准得1分，满分3分; ②分部分项工程施工方法:每完全满足一个评审标准得1分，满分3分: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（一包）已标价工程量清单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供应商针对本项目编制完善的施工部署，内容包含:①施工目标②施工准备③施工平面布置与安排。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 ①工程重难点及解决措施:每完全满足一个评审标准得1分，满分3分; ②分部分项工程施工方法:每完全满足一个评审标准得1分，满分3分: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详见附件：（一包）已标价工程量清单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详见附件：供应商资格证明文件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