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版本号：ZDCG202508190120250912001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借助西安地铁站数字展厅发布华山景区宣传片项目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ZDCG2025081901</w:t>
      </w:r>
      <w:r>
        <w:br/>
      </w:r>
      <w:r>
        <w:br/>
      </w:r>
      <w:r>
        <w:br/>
      </w:r>
    </w:p>
    <w:p>
      <w:pPr>
        <w:pStyle w:val="null3"/>
        <w:jc w:val="center"/>
        <w:outlineLvl w:val="5"/>
      </w:pPr>
      <w:r>
        <w:rPr>
          <w:rFonts w:ascii="仿宋_GB2312" w:hAnsi="仿宋_GB2312" w:cs="仿宋_GB2312" w:eastAsia="仿宋_GB2312"/>
          <w:sz w:val="15"/>
          <w:b/>
        </w:rPr>
        <w:t>华山风景名胜区管理委员会</w:t>
      </w:r>
    </w:p>
    <w:p>
      <w:pPr>
        <w:pStyle w:val="null3"/>
        <w:jc w:val="center"/>
        <w:outlineLvl w:val="5"/>
      </w:pPr>
      <w:r>
        <w:rPr>
          <w:rFonts w:ascii="仿宋_GB2312" w:hAnsi="仿宋_GB2312" w:cs="仿宋_GB2312" w:eastAsia="仿宋_GB2312"/>
          <w:sz w:val="15"/>
          <w:b/>
        </w:rPr>
        <w:t>正大鹏安建设项目管理有限公司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华山风景名胜区管理委员会</w:t>
      </w:r>
      <w:r>
        <w:rPr>
          <w:rFonts w:ascii="仿宋_GB2312" w:hAnsi="仿宋_GB2312" w:cs="仿宋_GB2312" w:eastAsia="仿宋_GB2312"/>
        </w:rPr>
        <w:t>委托，拟对</w:t>
      </w:r>
      <w:r>
        <w:rPr>
          <w:rFonts w:ascii="仿宋_GB2312" w:hAnsi="仿宋_GB2312" w:cs="仿宋_GB2312" w:eastAsia="仿宋_GB2312"/>
        </w:rPr>
        <w:t>借助西安地铁站数字展厅发布华山景区宣传片项目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ZDCG2025081901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借助西安地铁站数字展厅发布华山景区宣传片项目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为进一步提升华山风景名胜区国家AAAAA级旅游景区的知名度，充分发挥影响力，着力打造我市文化名片，带动区域经济发展，拟在西安地铁站数字展厅投放华山景区宣传片。</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采购包1（借助西安地铁站数字展厅发布华山景区宣传片）：属于专门面向中小企业采购。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华山风景名胜区管理委员会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华山风景名胜区管理委员会</w:t>
      </w:r>
    </w:p>
    <w:p>
      <w:pPr>
        <w:pStyle w:val="null3"/>
      </w:pPr>
      <w:r>
        <w:rPr>
          <w:rFonts w:ascii="仿宋_GB2312" w:hAnsi="仿宋_GB2312" w:cs="仿宋_GB2312" w:eastAsia="仿宋_GB2312"/>
        </w:rPr>
        <w:t xml:space="preserve"> 邮编： </w:t>
      </w:r>
      <w:r>
        <w:rPr>
          <w:rFonts w:ascii="仿宋_GB2312" w:hAnsi="仿宋_GB2312" w:cs="仿宋_GB2312" w:eastAsia="仿宋_GB2312"/>
        </w:rPr>
        <w:t>720001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华山风景名胜区管理委员会经办岗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0913-4363828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陕西省西安市高新区高新路2号西部国际广场B座28层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刘浩 马咄 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13991962818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础，根据国家发改委《招标代理服务收费管理暂行办法》（计价格[2002]1980号）以及《关于进一步放开建设项目专项业务服务价格的通知》（发改价格[2015]299号）规定的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华山风景名胜区管理委员会</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华山风景名胜区管理委员会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质量符合国家或行业相关标准。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为进一步提升华山风景名胜区国家AAAAA级旅游景区的知名度，充分发挥影响力，着力打造我市文化名片，带动区域经济发展，拟在西安地铁站数字展厅投放华山景区宣传片。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借助西安地铁站数字展厅发布华山景区宣传片项目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标的名称：借助西安地铁站数字展厅发布华山景区宣传片项目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西安地铁数字展厅广告点位</w:t>
            </w:r>
          </w:p>
          <w:tbl>
            <w:tblPr>
              <w:tblInd w:type="dxa" w:w="135"/>
              <w:tblBorders>
                <w:top w:val="none" w:color="000000" w:sz="4"/>
                <w:left w:val="none" w:color="000000" w:sz="4"/>
                <w:bottom w:val="none" w:color="000000" w:sz="4"/>
                <w:right w:val="none" w:color="000000" w:sz="4"/>
                <w:insideH w:val="none"/>
                <w:insideV w:val="none"/>
              </w:tblBorders>
            </w:tblPr>
            <w:tblGrid>
              <w:gridCol w:w="221"/>
              <w:gridCol w:w="323"/>
              <w:gridCol w:w="263"/>
              <w:gridCol w:w="238"/>
              <w:gridCol w:w="408"/>
              <w:gridCol w:w="357"/>
              <w:gridCol w:w="731"/>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数量（块）</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p>
                  <w:pPr>
                    <w:pStyle w:val="null3"/>
                    <w:jc w:val="center"/>
                  </w:pPr>
                  <w:r>
                    <w:rPr>
                      <w:rFonts w:ascii="仿宋_GB2312" w:hAnsi="仿宋_GB2312" w:cs="仿宋_GB2312" w:eastAsia="仿宋_GB2312"/>
                      <w:sz w:val="20"/>
                      <w:b/>
                      <w:color w:val="000000"/>
                    </w:rPr>
                    <w:t>选定</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广告播放时长（小时</w:t>
                  </w:r>
                  <w:r>
                    <w:rPr>
                      <w:rFonts w:ascii="仿宋_GB2312" w:hAnsi="仿宋_GB2312" w:cs="仿宋_GB2312" w:eastAsia="仿宋_GB2312"/>
                      <w:sz w:val="20"/>
                      <w:b/>
                      <w:color w:val="000000"/>
                    </w:rPr>
                    <w:t>/天）</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播放频次（屏次</w:t>
                  </w:r>
                  <w:r>
                    <w:rPr>
                      <w:rFonts w:ascii="仿宋_GB2312" w:hAnsi="仿宋_GB2312" w:cs="仿宋_GB2312" w:eastAsia="仿宋_GB2312"/>
                      <w:sz w:val="20"/>
                      <w:b/>
                      <w:color w:val="000000"/>
                    </w:rPr>
                    <w:t>/天）</w:t>
                  </w:r>
                </w:p>
              </w:tc>
              <w:tc>
                <w:tcPr>
                  <w:tcW w:type="dxa" w:w="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西安北站</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13920</w:t>
                  </w:r>
                </w:p>
              </w:tc>
              <w:tc>
                <w:tcPr>
                  <w:tcW w:type="dxa" w:w="7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color w:val="000000"/>
                    </w:rPr>
                    <w:t>共计</w:t>
                  </w:r>
                  <w:r>
                    <w:rPr>
                      <w:rFonts w:ascii="仿宋_GB2312" w:hAnsi="仿宋_GB2312" w:cs="仿宋_GB2312" w:eastAsia="仿宋_GB2312"/>
                      <w:sz w:val="20"/>
                      <w:color w:val="000000"/>
                    </w:rPr>
                    <w:t>8个站点，29块显示屏，每块尺寸为：高1.7m*宽1m，每天的播放时长不低于12小时，每一个宣传视频为9秒（时长可根据客户需求定制，屏次根据视频时长相应减少），每小时约40屏次，每天约13920屏次。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行政中心</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8"/>
                  <w:vMerge/>
                  <w:tcBorders>
                    <w:top w:val="none" w:color="000000" w:sz="4"/>
                    <w:left w:val="none" w:color="000000" w:sz="4"/>
                    <w:bottom w:val="none" w:color="000000" w:sz="4"/>
                    <w:right w:val="single" w:color="000000" w:sz="4"/>
                  </w:tcBorders>
                </w:tcPr>
                <w:p/>
              </w:tc>
              <w:tc>
                <w:tcPr>
                  <w:tcW w:type="dxa" w:w="357"/>
                  <w:vMerge/>
                  <w:tcBorders>
                    <w:top w:val="none" w:color="000000" w:sz="4"/>
                    <w:left w:val="non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西安站</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8"/>
                  <w:vMerge/>
                  <w:tcBorders>
                    <w:top w:val="none" w:color="000000" w:sz="4"/>
                    <w:left w:val="none" w:color="000000" w:sz="4"/>
                    <w:bottom w:val="none" w:color="000000" w:sz="4"/>
                    <w:right w:val="single" w:color="000000" w:sz="4"/>
                  </w:tcBorders>
                </w:tcPr>
                <w:p/>
              </w:tc>
              <w:tc>
                <w:tcPr>
                  <w:tcW w:type="dxa" w:w="357"/>
                  <w:vMerge/>
                  <w:tcBorders>
                    <w:top w:val="none" w:color="000000" w:sz="4"/>
                    <w:left w:val="non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曲江池西</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8"/>
                  <w:vMerge/>
                  <w:tcBorders>
                    <w:top w:val="none" w:color="000000" w:sz="4"/>
                    <w:left w:val="none" w:color="000000" w:sz="4"/>
                    <w:bottom w:val="none" w:color="000000" w:sz="4"/>
                    <w:right w:val="single" w:color="000000" w:sz="4"/>
                  </w:tcBorders>
                </w:tcPr>
                <w:p/>
              </w:tc>
              <w:tc>
                <w:tcPr>
                  <w:tcW w:type="dxa" w:w="357"/>
                  <w:vMerge/>
                  <w:tcBorders>
                    <w:top w:val="none" w:color="000000" w:sz="4"/>
                    <w:left w:val="non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大雁塔</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8"/>
                  <w:vMerge/>
                  <w:tcBorders>
                    <w:top w:val="none" w:color="000000" w:sz="4"/>
                    <w:left w:val="none" w:color="000000" w:sz="4"/>
                    <w:bottom w:val="none" w:color="000000" w:sz="4"/>
                    <w:right w:val="single" w:color="000000" w:sz="4"/>
                  </w:tcBorders>
                </w:tcPr>
                <w:p/>
              </w:tc>
              <w:tc>
                <w:tcPr>
                  <w:tcW w:type="dxa" w:w="357"/>
                  <w:vMerge/>
                  <w:tcBorders>
                    <w:top w:val="none" w:color="000000" w:sz="4"/>
                    <w:left w:val="non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万寿南路</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8"/>
                  <w:vMerge/>
                  <w:tcBorders>
                    <w:top w:val="none" w:color="000000" w:sz="4"/>
                    <w:left w:val="none" w:color="000000" w:sz="4"/>
                    <w:bottom w:val="none" w:color="000000" w:sz="4"/>
                    <w:right w:val="single" w:color="000000" w:sz="4"/>
                  </w:tcBorders>
                </w:tcPr>
                <w:p/>
              </w:tc>
              <w:tc>
                <w:tcPr>
                  <w:tcW w:type="dxa" w:w="357"/>
                  <w:vMerge/>
                  <w:tcBorders>
                    <w:top w:val="none" w:color="000000" w:sz="4"/>
                    <w:left w:val="non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大差市</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8"/>
                  <w:vMerge/>
                  <w:tcBorders>
                    <w:top w:val="none" w:color="000000" w:sz="4"/>
                    <w:left w:val="none" w:color="000000" w:sz="4"/>
                    <w:bottom w:val="none" w:color="000000" w:sz="4"/>
                    <w:right w:val="single" w:color="000000" w:sz="4"/>
                  </w:tcBorders>
                </w:tcPr>
                <w:p/>
              </w:tc>
              <w:tc>
                <w:tcPr>
                  <w:tcW w:type="dxa" w:w="357"/>
                  <w:vMerge/>
                  <w:tcBorders>
                    <w:top w:val="none" w:color="000000" w:sz="4"/>
                    <w:left w:val="non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钟楼</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8"/>
                  <w:vMerge/>
                  <w:tcBorders>
                    <w:top w:val="none" w:color="000000" w:sz="4"/>
                    <w:left w:val="none" w:color="000000" w:sz="4"/>
                    <w:bottom w:val="none" w:color="000000" w:sz="4"/>
                    <w:right w:val="single" w:color="000000" w:sz="4"/>
                  </w:tcBorders>
                </w:tcPr>
                <w:p/>
              </w:tc>
              <w:tc>
                <w:tcPr>
                  <w:tcW w:type="dxa" w:w="357"/>
                  <w:vMerge/>
                  <w:tcBorders>
                    <w:top w:val="none" w:color="000000" w:sz="4"/>
                    <w:left w:val="none" w:color="000000" w:sz="4"/>
                    <w:bottom w:val="single" w:color="000000" w:sz="4"/>
                    <w:right w:val="single" w:color="000000" w:sz="4"/>
                  </w:tcBorders>
                </w:tcPr>
                <w:p/>
              </w:tc>
              <w:tc>
                <w:tcPr>
                  <w:tcW w:type="dxa" w:w="731"/>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8"/>
              </w:rPr>
              <w:t>2.服务期限：合同签订后60日，具体发布日期以双方实际上刊日期为准，甲方提前1周通知乙方具体发布日期。</w:t>
            </w:r>
          </w:p>
          <w:p>
            <w:pPr>
              <w:pStyle w:val="null3"/>
              <w:ind w:firstLine="560"/>
              <w:jc w:val="both"/>
            </w:pPr>
            <w:r>
              <w:rPr>
                <w:rFonts w:ascii="仿宋_GB2312" w:hAnsi="仿宋_GB2312" w:cs="仿宋_GB2312" w:eastAsia="仿宋_GB2312"/>
                <w:sz w:val="28"/>
              </w:rPr>
              <w:t>3.广告开屏时间：每天开屏时长为12个小时（开屏时间为7：30-21：30，其中10：00-11：00、15:00-16:00为休屏时间，屏幕关闭)。如果遇地铁有特殊要求，需要调整播放时间，乙方必须提前通知甲方，并顺延播放时间。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供应商须指派专人作为项目负责人，负责管理本项目的所有事项，未经采购人同意不得随意更换负责人。</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西安地铁沿线</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合同签订后，乙方应开具增值税专用发票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广告投放后，且经甲方验收合格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满足采购内容及要求，按时完成所有服务项目，质量符合国家或行业相关标准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1、甲方逾期付款，应就逾期部分向乙方支付按照中国人民银行规定的同期贷款基准利率计算的逾期付款违约金。 2、甲方违反合同规定拒绝接收的，应当承担由此对乙方造成的损失。 3、乙方不能按期的，每逾期1日，乙方应向甲方赔付合同总价的0.1%作为违约金。 4、乙方所交服务不符合国家法律法规和合同规定的，甲方有权拒收，并由乙方承担一切费用。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标的所属行业为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2.为保障政府采购电子化交易平台项目实施，供应商需要在线提交所有通过电子化交易平台实施的政府采购项目的响应文件，成交供应商在中标（成交）结果公示期结束后须向采购人及代理机构提交纸质版响应文件正本1套、副本2套、电子版(U盘1份）。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谈判的提供法定代表人（负责人）身份证明及身份证；授权代表参加谈判的提供授权委托书及授权代表身份证。（3）税收缴纳证明：供应商自谈判前1年内已缴纳任意时段、任意税种凭证或税务机关开具的完税证明；依法免税的应提供相关文件证明。（4）社保资金缴纳证明：供应商自谈判前1年内已缴存的任意时段的社会保障资金缴存单据或社保机构开具的社会保险参保缴费情况证明；依法不需要缴纳社会保障资金的应提供相关文件证明。（5）供应商具备履行合同所必需的设备和专业技术能力承诺书。（6）谈判响应声明书：供应商参加本次采购活动3年内，在经营活动中没有重大违法记录以及未被列入失信被执行人、重大税收违法案件当事人名单、政府采购严重违法失信行为记录名单的书面声明。（7）谈判保证金交纳证明：无。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供应商需在项目电子化交易系统中按要求填写《响应函》完成承诺后，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按谈判文件要求签署、盖章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资格证明材料.docx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只能有一个有效报价，不得提交选择性报价，且报价不超过谈判文件规定的采购预算或最高限价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符合谈判文件实质性要求的规定</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符合谈判文件的规定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符合谈判文件“政府采购合同格式”条款中实质性要求和条件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