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版本号：XACH2025-103、XDZ2025-49-N-2520250912001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UPS不间断电源维保服务项目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XACH2025-103、XDZ2025-49-N-25</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UPS不间断电源维保服务项目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XACH2025-103、XDZ2025-49-N-25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UPS不间断电源维保服务项目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我院综合楼6楼信息机房主机、综合楼负一层电池172块、住院三部一层主机、住院三部电池36块、综合楼一楼主机进行维修、电池更换，全院21套UPS（主机及电池组）维保服务，保障我院设备、信息系统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采购包1（渭南市中心医院UPS不间断电源维保服务项目）：属于专门面向中小企业采购。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7、投标保证金：投标保证金交纳凭证；供应商需在项目电子化交易系统中按要求上传相应证明文件并进行电子签章。</w:t>
      </w:r>
    </w:p>
    <w:p>
      <w:pPr>
        <w:pStyle w:val="null3"/>
      </w:pPr>
      <w:r>
        <w:rPr>
          <w:rFonts w:ascii="仿宋_GB2312" w:hAnsi="仿宋_GB2312" w:cs="仿宋_GB2312" w:eastAsia="仿宋_GB2312"/>
        </w:rPr>
        <w:t>8、非联合体磋商：非联合体磋商声明；供应商需在项目电子化交易系统中按要求上传相应证明文件并进行电子签章。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15309135913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西安市高新区锦业路59号高科智慧园B座4层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耿鑫 单云 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联系人：耿鑫 单云 王文文</w:t>
      </w:r>
    </w:p>
    <w:p>
      <w:pPr>
        <w:pStyle w:val="null3"/>
      </w:pPr>
      <w:r>
        <w:rPr>
          <w:rFonts w:ascii="仿宋_GB2312" w:hAnsi="仿宋_GB2312" w:cs="仿宋_GB2312" w:eastAsia="仿宋_GB2312"/>
        </w:rPr>
        <w:t>联系电话：029-82286063、029-81151155转810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我院综合楼6楼信息机房主机、综合楼负一层电池172块、住院三部一层主机、住院三部电池36块、综合楼一楼主机进行维修、电池更换，全院21套UPS（主机及电池组）维保服务，保障我院设备、信息系统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UPS不间断电源维保服务项目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标的名称：UPS不间断电源维保服务项目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4"/>
              <w:gridCol w:w="211"/>
              <w:gridCol w:w="94"/>
              <w:gridCol w:w="94"/>
              <w:gridCol w:w="94"/>
              <w:gridCol w:w="94"/>
              <w:gridCol w:w="174"/>
              <w:gridCol w:w="94"/>
              <w:gridCol w:w="94"/>
              <w:gridCol w:w="94"/>
              <w:gridCol w:w="59"/>
              <w:gridCol w:w="1148"/>
              <w:gridCol w:w="118"/>
            </w:tblGrid>
            <w:tr>
              <w:tc>
                <w:tcPr>
                  <w:tcW w:type="dxa" w:w="2424"/>
                  <w:gridSpan w:val="12"/>
                  <w:tcMar>
                    <w:top w:type="dxa" w:w="0"/>
                    <w:left w:type="dxa" w:w="105"/>
                    <w:bottom w:type="dxa" w:w="0"/>
                    <w:right w:type="dxa" w:w="105"/>
                  </w:tcMar>
                </w:tcPr>
                <w:p>
                  <w:pPr>
                    <w:pStyle w:val="null3"/>
                    <w:jc w:val="center"/>
                  </w:pPr>
                  <w:r>
                    <w:rPr>
                      <w:rFonts w:ascii="仿宋_GB2312" w:hAnsi="仿宋_GB2312" w:cs="仿宋_GB2312" w:eastAsia="仿宋_GB2312"/>
                      <w:sz w:val="28"/>
                      <w:color w:val="000000"/>
                    </w:rPr>
                    <w:t>UPS</w:t>
                  </w:r>
                  <w:r>
                    <w:rPr>
                      <w:rFonts w:ascii="仿宋_GB2312" w:hAnsi="仿宋_GB2312" w:cs="仿宋_GB2312" w:eastAsia="仿宋_GB2312"/>
                      <w:sz w:val="28"/>
                      <w:color w:val="000000"/>
                    </w:rPr>
                    <w:t>设备更换维修清单</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序号</w:t>
                  </w:r>
                </w:p>
              </w:tc>
              <w:tc>
                <w:tcPr>
                  <w:tcW w:type="dxa" w:w="305"/>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位置</w:t>
                  </w:r>
                </w:p>
              </w:tc>
              <w:tc>
                <w:tcPr>
                  <w:tcW w:type="dxa" w:w="18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项目名称</w:t>
                  </w:r>
                </w:p>
              </w:tc>
              <w:tc>
                <w:tcPr>
                  <w:tcW w:type="dxa" w:w="362"/>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型号</w:t>
                  </w:r>
                </w:p>
              </w:tc>
              <w:tc>
                <w:tcPr>
                  <w:tcW w:type="dxa" w:w="18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数量</w:t>
                  </w:r>
                </w:p>
              </w:tc>
              <w:tc>
                <w:tcPr>
                  <w:tcW w:type="dxa" w:w="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单位</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备注</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3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综合楼六层机房</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UPS主机维修</w:t>
                  </w:r>
                </w:p>
              </w:tc>
              <w:tc>
                <w:tcPr>
                  <w:tcW w:type="dxa" w:w="36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伊顿 93E 400KVA</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主机检测、主配件的维修和更换，以及其它与主机相关配件，保证系统的正常运行。</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3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住院三部一层网络设备间</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UPS主机维修</w:t>
                  </w:r>
                </w:p>
              </w:tc>
              <w:tc>
                <w:tcPr>
                  <w:tcW w:type="dxa" w:w="36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伊顿 93E 60KVA</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主机检测、主配件的维修和更换，以及其它与主机相关配件，保证系统的正常运行。</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3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综合楼负一层</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UPS电池更换</w:t>
                  </w:r>
                </w:p>
              </w:tc>
              <w:tc>
                <w:tcPr>
                  <w:tcW w:type="dxa" w:w="36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ETN HF12-520W-X</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172</w:t>
                  </w:r>
                </w:p>
              </w:tc>
              <w:tc>
                <w:tcPr>
                  <w:tcW w:type="dxa" w:w="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原电池拆除，新换电池运输搬运、安装、更换、及调试检测。</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3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住院三部</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UPS电池更换</w:t>
                  </w:r>
                </w:p>
              </w:tc>
              <w:tc>
                <w:tcPr>
                  <w:tcW w:type="dxa" w:w="36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ETN HF12-750W</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原电池拆除，新换电池运输搬运、安装、更换、及调试检测。</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30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综合楼一楼</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UPS主机维修</w:t>
                  </w:r>
                </w:p>
              </w:tc>
              <w:tc>
                <w:tcPr>
                  <w:tcW w:type="dxa" w:w="362"/>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伊顿 93E 60KVA</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主机检测、主配件的维修和更换，以及其它与主机相关配件，保证系统的正常运行。</w:t>
                  </w:r>
                </w:p>
              </w:tc>
              <w:tc>
                <w:tcPr>
                  <w:tcW w:type="dxa" w:w="118"/>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pPr>
                  <w:r>
                    <w:rPr>
                      <w:rFonts w:ascii="仿宋_GB2312" w:hAnsi="仿宋_GB2312" w:cs="仿宋_GB2312" w:eastAsia="仿宋_GB2312"/>
                      <w:sz w:val="21"/>
                      <w:color w:val="000000"/>
                    </w:rPr>
                    <w:t xml:space="preserve"> </w:t>
                  </w:r>
                </w:p>
              </w:tc>
            </w:tr>
            <w:tr>
              <w:tc>
                <w:tcPr>
                  <w:tcW w:type="dxa" w:w="2542"/>
                  <w:gridSpan w:val="13"/>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UPS设备维保清单</w:t>
                  </w:r>
                </w:p>
              </w:tc>
            </w:tr>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序号</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位置</w:t>
                  </w:r>
                </w:p>
              </w:tc>
              <w:tc>
                <w:tcPr>
                  <w:tcW w:type="dxa" w:w="18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项目名称</w:t>
                  </w:r>
                </w:p>
              </w:tc>
              <w:tc>
                <w:tcPr>
                  <w:tcW w:type="dxa" w:w="18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型号</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数量</w:t>
                  </w:r>
                </w:p>
              </w:tc>
              <w:tc>
                <w:tcPr>
                  <w:tcW w:type="dxa" w:w="188"/>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单位</w:t>
                  </w:r>
                </w:p>
              </w:tc>
              <w:tc>
                <w:tcPr>
                  <w:tcW w:type="dxa" w:w="1419"/>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备注</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UPS系统维保</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主要UPS系统</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伊顿</w:t>
                  </w:r>
                  <w:r>
                    <w:rPr>
                      <w:rFonts w:ascii="仿宋_GB2312" w:hAnsi="仿宋_GB2312" w:cs="仿宋_GB2312" w:eastAsia="仿宋_GB2312"/>
                      <w:sz w:val="24"/>
                      <w:color w:val="000000"/>
                    </w:rPr>
                    <w:t>/</w:t>
                  </w:r>
                  <w:r>
                    <w:rPr>
                      <w:rFonts w:ascii="仿宋_GB2312" w:hAnsi="仿宋_GB2312" w:cs="仿宋_GB2312" w:eastAsia="仿宋_GB2312"/>
                      <w:sz w:val="24"/>
                      <w:color w:val="000000"/>
                    </w:rPr>
                    <w:t>科士达</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1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1419"/>
                  <w:gridSpan w:val="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月度巡检； 2.系统配件5000元以下配件免费更换；3.对UPS主机和电池房间的环境进行定时清理和清扫；4.对各个UPS系统定时进行充放电实验，并对相关人员进行使用培训；5.配合和保障电工班对医院例行年度断电演练；6.提供紧急条件下电池及相关配件的应急保障替换服务；7.质保期内包含电池更换；8.维保期限一年；9.报价需含维保服务配件报价清单。</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正常切换市电要求，货物到达交货地点后，对所有订购单所购货物进行验收。内容包含型号、规格、数量、外观质量是否符合要求，货物包装是否完好，电池检测报告、用户手册、原厂保修卡、随机资料及配件、随机工具等是否齐全。 2、质量须满足国家、行业及竞争性磋商文件的合格标准。 3、验收依据：合同文本、成交单位的磋商响应文件和磋商文件。 4、合同签订后50个日历日完成电池更换、主机主配件更换达到正常使用标准。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维修更换、调试完成后，经验收合格后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13个月后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1、双方的违约责任 （一）采购人违反合同规定拒绝验收的，应当承担由此对供应商造成的损失。 （二）供应商所交产品不符合国家法律法规和合同规定的，采购人有权拒收，并由供应商承担一切费用。 （三）供应商不能按期实施项目的，每逾期1日供应商应向采购人赔付合同金额的 1 ‰作为违约金并及时采取有效补救措施。无故延期15日以上视为根本性违约，采购人有权解除本合同，供应商除应全额退还采购人已支付的价款外，还应向采购人支付违约金。同时在此期间，因供应商原因给采购人造成的其他损失，供应商还应当承担相应赔偿及责任。 2、解决争议的方法 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项目磋商报价为完成服务所涉及到的设备、人员工资，运输、保险及伴随服务等所有费用。包括但不限于检测费、维修费、货物价款(含通常配备的备品备件、易损件）、运杂费（含保险费）、人工费、装卸费、安装调试费、培训费、技术资料费、维护保养费、售后服务费、招标代理服务费、利润、税金、风险、验收费等完成本项目所需的全部费用。如有遗漏，视为已包含在内。 3.4.2供应商在履行合同中的从业人员在履行职责中的意外伤害、死亡以及财产损失均由供应商自行承担相应责任和所有费用，与院方无任何法律责任和经济责任。 3.4.3质保期限： 2年 售后服务要求：质保期内免费维修所有更换的配件 3.4.4维修维护要求及响应时间要求：24小时 3.4.5人员培训要求：对工作人员进行安全操作培训。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响应方案说明 政府采购供应商拒绝政府采购领域商业贿赂承诺书 资格证明文件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响应方案说明 政府采购供应商拒绝政府采购领域商业贿赂承诺书 资格证明文件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响应方案说明 政府采购供应商拒绝政府采购领域商业贿赂承诺书 资格证明文件 残疾人福利性单位声明函 标的清单 供应商承诺书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 服务内容及服务邀请应答表 中小企业声明函 商务应答表 报价表 响应文件封面 响应方案说明 政府采购供应商拒绝政府采购领域商业贿赂承诺书 资格证明文件 残疾人福利性单位声明函 标的清单 供应商承诺书 响应函 业绩证明文件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提供2022年以来类似项目业绩合同（以合同签订时间为准），每份业绩计2分，满分10分。 （注：以上证明文件在磋商响应文件中附业绩合同扫描件并加盖公司公章。）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根据项目具体情况制定详细完善的服务方案</w:t>
            </w:r>
          </w:p>
        </w:tc>
        <w:tc>
          <w:tcPr>
            <w:tcW w:type="dxa" w:w="2492"/>
          </w:tcPr>
          <w:p>
            <w:pPr>
              <w:pStyle w:val="null3"/>
            </w:pPr>
            <w:r>
              <w:rPr>
                <w:rFonts w:ascii="仿宋_GB2312" w:hAnsi="仿宋_GB2312" w:cs="仿宋_GB2312" w:eastAsia="仿宋_GB2312"/>
              </w:rPr>
              <w:t>根据项目具体情况制定详细完善的服务方案，包括但不限于运维服务目标、服务计划、组织实施方案（含服务检测维修方案、维护保养方案、配品配件的供货组织安排方案等），具有全面性、可行性、针对性，方案明确，布局规范。本项满分10分。 实施方案完整、可操作性强、细节考虑到位的计7～10（含）分。实施方案基本完整，有相对的可操作性，描述良好的计3～7（含）分。 描述符合要求，内容缺失、细节考虑不完善的计0～3（含）分。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针对项目质量有先进、可行、有效的控制措施和管理办法</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措施和办法描述完整、可操作性强、细节描述详细优越的计5～8（含）分。 有相对的操作性，描述符合采购要求计2～5（含）分。 内容缺失，细节考虑不完善的计0～2（含）分。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提供项目管理制度</w:t>
            </w:r>
          </w:p>
        </w:tc>
        <w:tc>
          <w:tcPr>
            <w:tcW w:type="dxa" w:w="2492"/>
          </w:tcPr>
          <w:p>
            <w:pPr>
              <w:pStyle w:val="null3"/>
            </w:pPr>
            <w:r>
              <w:rPr>
                <w:rFonts w:ascii="仿宋_GB2312" w:hAnsi="仿宋_GB2312" w:cs="仿宋_GB2312" w:eastAsia="仿宋_GB2312"/>
              </w:rPr>
              <w:t>提供项目管理制度，包括但不限于现场维保工作制度、维保人员工作计划轮换制度及维保人员考核制度，根据响应程度计分。本项满分8分。 制度描述完整、可操作性强、细节描述详细优越的计5～8（含）分。 制度内容有相对的操作性，描述良好，基本符合采购要求计3～5（含）分。 制度内容缺失，细节考虑不完善的计0～3（含）分。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针对本项目制定详细的人员配备方案</w:t>
            </w:r>
          </w:p>
        </w:tc>
        <w:tc>
          <w:tcPr>
            <w:tcW w:type="dxa" w:w="2492"/>
          </w:tcPr>
          <w:p>
            <w:pPr>
              <w:pStyle w:val="null3"/>
            </w:pPr>
            <w:r>
              <w:rPr>
                <w:rFonts w:ascii="仿宋_GB2312" w:hAnsi="仿宋_GB2312" w:cs="仿宋_GB2312" w:eastAsia="仿宋_GB2312"/>
              </w:rPr>
              <w:t>针对本项目制定详细的人员配备方案，维保人员人数及专业设置合理，完全满足项目要求，根据响应程度计分，本项满分8分。 维保人员工作经验丰富，专业人员配备齐全、专业程度高、岗位职责完善清晰计5～8（含）分； 维保人员工作经验及专业人员配备略有不足，专业程度及岗位职责一般计3～5（含）分； 维保人员工作经验欠缺，专业人员配备不充足、专业程度及岗位职责差计0～3（含）分。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配品配件的相关资料</w:t>
            </w:r>
          </w:p>
        </w:tc>
        <w:tc>
          <w:tcPr>
            <w:tcW w:type="dxa" w:w="2492"/>
          </w:tcPr>
          <w:p>
            <w:pPr>
              <w:pStyle w:val="null3"/>
            </w:pPr>
            <w:r>
              <w:rPr>
                <w:rFonts w:ascii="仿宋_GB2312" w:hAnsi="仿宋_GB2312" w:cs="仿宋_GB2312" w:eastAsia="仿宋_GB2312"/>
              </w:rPr>
              <w:t>确保配品配件的相关资料：包括但不限于厂家授权、产品彩页、产品说明书、技术白皮书、合格证、供货渠道正规、无不良市场反馈、取得有关部门准予市场销售等技术资料，按其响应程度计分，本项满分6分。 所投产品规格指标、功能优先，技术资料齐全，得3～6（含）分。 所投产品规格指标、功能内容略有不足，技术资料缺失，得0～3（含）分。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提供有效的保密和安全性防范措施</w:t>
            </w:r>
          </w:p>
        </w:tc>
        <w:tc>
          <w:tcPr>
            <w:tcW w:type="dxa" w:w="2492"/>
          </w:tcPr>
          <w:p>
            <w:pPr>
              <w:pStyle w:val="null3"/>
            </w:pPr>
            <w:r>
              <w:rPr>
                <w:rFonts w:ascii="仿宋_GB2312" w:hAnsi="仿宋_GB2312" w:cs="仿宋_GB2312" w:eastAsia="仿宋_GB2312"/>
              </w:rPr>
              <w:t>提供有效的保密和安全性防范措施，根据响应程度计分。本项满分5分。未提供不得分。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针对本项目提供切实可行的培训方案</w:t>
            </w:r>
          </w:p>
        </w:tc>
        <w:tc>
          <w:tcPr>
            <w:tcW w:type="dxa" w:w="2492"/>
          </w:tcPr>
          <w:p>
            <w:pPr>
              <w:pStyle w:val="null3"/>
            </w:pPr>
            <w:r>
              <w:rPr>
                <w:rFonts w:ascii="仿宋_GB2312" w:hAnsi="仿宋_GB2312" w:cs="仿宋_GB2312" w:eastAsia="仿宋_GB2312"/>
              </w:rPr>
              <w:t>针对本项目提供切实可行的培训方案，培训方案完整，能够列出详细的培训内容、培训方式等，确保使用人员能够独立操作，并进行简单故障排查处理，根据优劣程度及可实施性计分。本项满分5分。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售后服务保障体系，对服务期限内质量、人员到位情况、日常维护、技术培训以及后期服务的响应时间（方案还应当包含不能完全履行售后服务时愿意接受相关处罚的承诺），售后服务方案合理、及时有效与实际需求相符合。本项满分10分。 售后服务方案承诺及配套服务措施完整详尽、可操作性强得计7～10（含）分。 售后服务方案承诺及配套服务措施完整、基本合理计3～7（含）分。 售后服务承诺及配套服务措施存在部分缺陷和不足，不符合项目实际情况计0～3（含）分。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