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版本号：ZCSP-渭南市-2025-0073820250914001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渭南市成品油综合服务智慧监管平台项目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ZCSP-渭南市-2025-00738</w:t>
      </w:r>
      <w:r>
        <w:br/>
      </w:r>
      <w:r>
        <w:br/>
      </w:r>
      <w:r>
        <w:br/>
      </w:r>
    </w:p>
    <w:p>
      <w:pPr>
        <w:pStyle w:val="null3"/>
        <w:jc w:val="center"/>
        <w:outlineLvl w:val="2"/>
      </w:pPr>
      <w:r>
        <w:rPr>
          <w:rFonts w:ascii="仿宋_GB2312" w:hAnsi="仿宋_GB2312" w:cs="仿宋_GB2312" w:eastAsia="仿宋_GB2312"/>
          <w:sz w:val="28"/>
          <w:b/>
        </w:rPr>
        <w:t>渭南市数据服务中心</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渭南市数据服务中心</w:t>
      </w:r>
      <w:r>
        <w:rPr>
          <w:rFonts w:ascii="仿宋_GB2312" w:hAnsi="仿宋_GB2312" w:cs="仿宋_GB2312" w:eastAsia="仿宋_GB2312"/>
        </w:rPr>
        <w:t>委托，拟对</w:t>
      </w:r>
      <w:r>
        <w:rPr>
          <w:rFonts w:ascii="仿宋_GB2312" w:hAnsi="仿宋_GB2312" w:cs="仿宋_GB2312" w:eastAsia="仿宋_GB2312"/>
        </w:rPr>
        <w:t>渭南市成品油综合服务智慧监管平台项目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渭南市成品油综合服务智慧监管平台项目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完成渭南市成品油综合服务智慧监管平台项目全部内容。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投标人应授权合法的人员参加投标全过程，其中法定代表人（或负责人）直接参加投标的，须出具该法定代表人（或负责人）身份证明，并与营业执照上信息一致。法定代表人（或负责人）授权代表参加投标的，须出具法定代表人（或负责人）授权书及授权代表身份证明。</w:t>
      </w:r>
    </w:p>
    <w:p>
      <w:pPr>
        <w:pStyle w:val="null3"/>
      </w:pPr>
      <w:r>
        <w:rPr>
          <w:rFonts w:ascii="仿宋_GB2312" w:hAnsi="仿宋_GB2312" w:cs="仿宋_GB2312" w:eastAsia="仿宋_GB2312"/>
        </w:rPr>
        <w:t>2、信用信息：投标人未列入“信用中国”网站（www.creditchina.gov.cn）和中国政府采购网（www.ccgp.gov.cn）失信被执行人、重大税收违法失信主体、政府采购严重违法失信行为记录名单。</w:t>
      </w:r>
    </w:p>
    <w:p>
      <w:pPr>
        <w:pStyle w:val="null3"/>
      </w:pPr>
      <w:r>
        <w:rPr>
          <w:rFonts w:ascii="仿宋_GB2312" w:hAnsi="仿宋_GB2312" w:cs="仿宋_GB2312" w:eastAsia="仿宋_GB2312"/>
        </w:rPr>
        <w:t>3、投标保证金：出具投标保证金交纳凭证或担保机构出具的保函。</w:t>
      </w:r>
    </w:p>
    <w:p>
      <w:pPr>
        <w:pStyle w:val="null3"/>
      </w:pPr>
      <w:r>
        <w:rPr>
          <w:rFonts w:ascii="仿宋_GB2312" w:hAnsi="仿宋_GB2312" w:cs="仿宋_GB2312" w:eastAsia="仿宋_GB2312"/>
        </w:rPr>
        <w:t>4、投标人不得存在下列情形之一：1）单位负责人为同一人或者存在直接控股、管理关系的不同投标人不得参加同一合同项下的政府采购活动； 2）为本项目提供整体设计、规范编制或者项目管理、监理、检测等服务的投标人，不得再参加该合同包的采购活动。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负责人）或授权代表身份证明：投标人应授权合法的人员参加投标全过程，其中法定代表人（或负责人）直接参加投标的，须出具该法定代表人（或负责人）身份证明，并与营业执照上信息一致。法定代表人（或负责人）授权代表参加投标的，须出具法定代表人（或负责人）授权书及授权代表身份证明。</w:t>
      </w:r>
    </w:p>
    <w:p>
      <w:pPr>
        <w:pStyle w:val="null3"/>
      </w:pPr>
      <w:r>
        <w:rPr>
          <w:rFonts w:ascii="仿宋_GB2312" w:hAnsi="仿宋_GB2312" w:cs="仿宋_GB2312" w:eastAsia="仿宋_GB2312"/>
        </w:rPr>
        <w:t>2、企业资质：投标人须具备合法有效的工程监理综合资质或通信工程监理甲级资质。</w:t>
      </w:r>
    </w:p>
    <w:p>
      <w:pPr>
        <w:pStyle w:val="null3"/>
      </w:pPr>
      <w:r>
        <w:rPr>
          <w:rFonts w:ascii="仿宋_GB2312" w:hAnsi="仿宋_GB2312" w:cs="仿宋_GB2312" w:eastAsia="仿宋_GB2312"/>
        </w:rPr>
        <w:t>3、信用信息：投标人未列入“信用中国”网站（www.creditchina.gov.cn）和中国政府采购网（www.ccgp.gov.cn）失信被执行人、重大税收违法失信主体、政府采购严重违法失信行为记录名单。</w:t>
      </w:r>
    </w:p>
    <w:p>
      <w:pPr>
        <w:pStyle w:val="null3"/>
      </w:pPr>
      <w:r>
        <w:rPr>
          <w:rFonts w:ascii="仿宋_GB2312" w:hAnsi="仿宋_GB2312" w:cs="仿宋_GB2312" w:eastAsia="仿宋_GB2312"/>
        </w:rPr>
        <w:t>4、投标保证金：出具投标保证金交纳凭证或担保机构出具的保函。</w:t>
      </w:r>
    </w:p>
    <w:p>
      <w:pPr>
        <w:pStyle w:val="null3"/>
      </w:pPr>
      <w:r>
        <w:rPr>
          <w:rFonts w:ascii="仿宋_GB2312" w:hAnsi="仿宋_GB2312" w:cs="仿宋_GB2312" w:eastAsia="仿宋_GB2312"/>
        </w:rPr>
        <w:t>5、投标人不得存在下列情形：单位负责人为同一人或者存在直接控股、管理关系的不同投标人不得参加同一合同项下的政府采购活动。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渭南市临渭区车雷大街69号市民综合服务中心西配楼1楼西侧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0913-2930456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采购包1：34,531,000.00元</w:t>
            </w:r>
          </w:p>
          <w:p>
            <w:pPr>
              <w:pStyle w:val="null3"/>
            </w:pPr>
            <w:r>
              <w:rPr>
                <w:rFonts w:ascii="仿宋_GB2312" w:hAnsi="仿宋_GB2312" w:cs="仿宋_GB2312" w:eastAsia="仿宋_GB2312"/>
              </w:rPr>
              <w:t>采购包2：454,500.00元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采购包2保证金金额：4,500.00元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渭南市数据服务中心</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完成系统试运行前的用户培训工作，开始系统试运行及迭代完善工作，提出初步验收申请，采购人单位组织验收，满足设计要求，测试合格后，双方签署验收协议，完成初步验收，系统进入试运行阶段。 初验通过后，平台进入3个月试运行阶段，做好对系统的功能、性能、稳定性以及系统的运行效果等各项关键因素进行全面的监测与记录，对出现的问题及时处理并形成系统试运行记录。在试运行期满后组织做好试运行检验，根据检验和记录结果，写出系统试运行报告，做出系统试运行结论，并经甲乙双方签字确认。同时进行项目培训、文档整理等收尾工作。 在完成试运行工作内容后，提交全部相关文档、图纸、报告、代码，向验收小组提出系统最终验收（竣工验收）申请，终验通过后系统方可申请正式上线运行。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符合采购文件要求和现行国家标准、行业标准。验收前提交监理工作形成的所有文档。</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完成渭南市成品油综合服务智慧监管平台项目全部内容。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34,531,000.00</w:t>
      </w:r>
    </w:p>
    <w:p>
      <w:pPr>
        <w:pStyle w:val="null3"/>
      </w:pPr>
      <w:r>
        <w:rPr>
          <w:rFonts w:ascii="仿宋_GB2312" w:hAnsi="仿宋_GB2312" w:cs="仿宋_GB2312" w:eastAsia="仿宋_GB2312"/>
        </w:rPr>
        <w:t>采购包最高限价（元）: 34,531,000.00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渭南市成品油综合服务智慧监管平台项目建设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34,531,000.00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454,500.00</w:t>
      </w:r>
    </w:p>
    <w:p>
      <w:pPr>
        <w:pStyle w:val="null3"/>
      </w:pPr>
      <w:r>
        <w:rPr>
          <w:rFonts w:ascii="仿宋_GB2312" w:hAnsi="仿宋_GB2312" w:cs="仿宋_GB2312" w:eastAsia="仿宋_GB2312"/>
        </w:rPr>
        <w:t>采购包最高限价（元）: 454,500.00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渭南市成品油综合服务智慧监管平台项目监理服务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454,500.00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标的名称：渭南市成品油综合服务智慧监管平台项目建设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1.项目概况：</w:t>
            </w:r>
          </w:p>
          <w:p>
            <w:pPr>
              <w:pStyle w:val="null3"/>
            </w:pPr>
            <w:r>
              <w:rPr>
                <w:rFonts w:ascii="仿宋_GB2312" w:hAnsi="仿宋_GB2312" w:cs="仿宋_GB2312" w:eastAsia="仿宋_GB2312"/>
              </w:rPr>
              <w:t>本期项目主要建设内容包括：前端数据采集设备建设和后端</w:t>
            </w:r>
            <w:r>
              <w:rPr>
                <w:rFonts w:ascii="仿宋_GB2312" w:hAnsi="仿宋_GB2312" w:cs="仿宋_GB2312" w:eastAsia="仿宋_GB2312"/>
              </w:rPr>
              <w:t>监管平台</w:t>
            </w:r>
            <w:r>
              <w:rPr>
                <w:rFonts w:ascii="仿宋_GB2312" w:hAnsi="仿宋_GB2312" w:cs="仿宋_GB2312" w:eastAsia="仿宋_GB2312"/>
              </w:rPr>
              <w:t>八个中心的建设。</w:t>
            </w:r>
          </w:p>
          <w:p>
            <w:pPr>
              <w:pStyle w:val="null3"/>
            </w:pPr>
            <w:r>
              <w:rPr>
                <w:rFonts w:ascii="仿宋_GB2312" w:hAnsi="仿宋_GB2312" w:cs="仿宋_GB2312" w:eastAsia="仿宋_GB2312"/>
              </w:rPr>
              <w:t>通过构建监管平台八大中心，包括：信息管理中心、异常告警中心、数据采集中心、数据分析中心、数据监控中心、数据比对中心、税收监管中心和综合运维中心，分析各类监测数据，及时发现异常情况，为综合监管决策提供科学依据，实现对加油站的精准监管，为各部门业务提供数据服务，实现多部门共享应用。</w:t>
            </w:r>
          </w:p>
          <w:p>
            <w:pPr>
              <w:pStyle w:val="null3"/>
            </w:pPr>
            <w:r>
              <w:rPr>
                <w:rFonts w:ascii="仿宋_GB2312" w:hAnsi="仿宋_GB2312" w:cs="仿宋_GB2312" w:eastAsia="仿宋_GB2312"/>
              </w:rPr>
              <w:t>通过在加油站部署卸油区专用防爆摄像机</w:t>
            </w:r>
            <w:r>
              <w:rPr>
                <w:rFonts w:ascii="仿宋_GB2312" w:hAnsi="仿宋_GB2312" w:cs="仿宋_GB2312" w:eastAsia="仿宋_GB2312"/>
              </w:rPr>
              <w:t>507台、加油机数据采集仪1713台、液位仪数据终端507个、综合安全网关507台、边缘计算终端507台。构建安全、相互印证的全过程监管体系，确保数据的真实性。</w:t>
            </w:r>
          </w:p>
          <w:p>
            <w:pPr>
              <w:pStyle w:val="null3"/>
            </w:pPr>
            <w:r>
              <w:rPr>
                <w:rFonts w:ascii="仿宋_GB2312" w:hAnsi="仿宋_GB2312" w:cs="仿宋_GB2312" w:eastAsia="仿宋_GB2312"/>
                <w:b/>
              </w:rPr>
              <w:t>1.1</w:t>
            </w:r>
            <w:r>
              <w:rPr>
                <w:rFonts w:ascii="仿宋_GB2312" w:hAnsi="仿宋_GB2312" w:cs="仿宋_GB2312" w:eastAsia="仿宋_GB2312"/>
                <w:b/>
              </w:rPr>
              <w:t>总体思路</w:t>
            </w:r>
          </w:p>
          <w:p>
            <w:pPr>
              <w:pStyle w:val="null3"/>
            </w:pPr>
            <w:r>
              <w:rPr>
                <w:rFonts w:ascii="仿宋_GB2312" w:hAnsi="仿宋_GB2312" w:cs="仿宋_GB2312" w:eastAsia="仿宋_GB2312"/>
                <w:b/>
              </w:rPr>
              <w:t>1.1.1</w:t>
            </w:r>
            <w:r>
              <w:rPr>
                <w:rFonts w:ascii="仿宋_GB2312" w:hAnsi="仿宋_GB2312" w:cs="仿宋_GB2312" w:eastAsia="仿宋_GB2312"/>
                <w:b/>
              </w:rPr>
              <w:t>总体架构</w:t>
            </w:r>
          </w:p>
          <w:p>
            <w:pPr>
              <w:pStyle w:val="null3"/>
            </w:pPr>
            <w:r>
              <w:rPr>
                <w:rFonts w:ascii="仿宋_GB2312" w:hAnsi="仿宋_GB2312" w:cs="仿宋_GB2312" w:eastAsia="仿宋_GB2312"/>
              </w:rPr>
              <w:t>本期平台总体架构主要包括五个层次和三大体系，其中横向层次的上层对其下层具有依赖关系，纵向体系对于相关层次具有约束关系。建设总体架构如下图所示：</w:t>
            </w:r>
          </w:p>
          <w:p>
            <w:pPr>
              <w:pStyle w:val="null3"/>
            </w:pPr>
            <w:r>
              <w:drawing>
                <wp:inline distT="0" distR="0" distB="0" distL="0">
                  <wp:extent cx="1621155" cy="107859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78591"/>
                          </a:xfrm>
                          <a:prstGeom prst="rect">
                            <a:avLst/>
                          </a:prstGeom>
                        </pic:spPr>
                      </pic:pic>
                    </a:graphicData>
                  </a:graphic>
                </wp:inline>
              </w:drawing>
            </w:r>
          </w:p>
          <w:p>
            <w:pPr>
              <w:pStyle w:val="null3"/>
              <w:jc w:val="center"/>
            </w:pPr>
            <w:r>
              <w:rPr>
                <w:rFonts w:ascii="仿宋_GB2312" w:hAnsi="仿宋_GB2312" w:cs="仿宋_GB2312" w:eastAsia="仿宋_GB2312"/>
              </w:rPr>
              <w:t>总体架构图</w:t>
            </w:r>
          </w:p>
          <w:p>
            <w:pPr>
              <w:pStyle w:val="null3"/>
            </w:pPr>
            <w:r>
              <w:rPr>
                <w:rFonts w:ascii="仿宋_GB2312" w:hAnsi="仿宋_GB2312" w:cs="仿宋_GB2312" w:eastAsia="仿宋_GB2312"/>
              </w:rPr>
              <w:t>基础层：包括平台所需的计算资源、存储资源、网络资源、安全资等，这四部分资源均由渭南市政务云统一提供平台部署环境，本期将整合接入已建或规划建设的前端感知设备，实现对渭南市成品油综合服务智慧监管实时感知；同时还包含传输网络和物联感知设备，为本项目平台提供基础数据和数据传输通道。</w:t>
            </w:r>
          </w:p>
          <w:p>
            <w:pPr>
              <w:pStyle w:val="null3"/>
            </w:pPr>
            <w:r>
              <w:rPr>
                <w:rFonts w:ascii="仿宋_GB2312" w:hAnsi="仿宋_GB2312" w:cs="仿宋_GB2312" w:eastAsia="仿宋_GB2312"/>
              </w:rPr>
              <w:t>数据层：通过数据汇聚、数据交换系统实现成品油综合服务智慧监管数据的统一汇聚、清洗、关联、融合，实现与省级平台及国家平台的数据共享交换功能，建设基础信息库、对比模型库、预警报警库和专题库，为渭南市成品油综合服务智慧监管平台及外部数据对接共享提供综合性数据支撑能力。</w:t>
            </w:r>
          </w:p>
          <w:p>
            <w:pPr>
              <w:pStyle w:val="null3"/>
            </w:pPr>
            <w:r>
              <w:rPr>
                <w:rFonts w:ascii="仿宋_GB2312" w:hAnsi="仿宋_GB2312" w:cs="仿宋_GB2312" w:eastAsia="仿宋_GB2312"/>
              </w:rPr>
              <w:t>支撑层：包括基础软件（操作系统、中间件、数据库、国密浏览器、密码钥匙）和应用支撑平台，为了满足安全可控需求，本期基础软件将购置信创目录内产品，保障平台整体的安全性。应用支撑平台包括统一用户认证系统、视频平台、地理信息平台、密码应用平台等，为整个平台上层应用及下层物联感知设备接入提供统一的应用支撑能力和数据接入能力。</w:t>
            </w:r>
          </w:p>
          <w:p>
            <w:pPr>
              <w:pStyle w:val="null3"/>
            </w:pPr>
            <w:r>
              <w:rPr>
                <w:rFonts w:ascii="仿宋_GB2312" w:hAnsi="仿宋_GB2312" w:cs="仿宋_GB2312" w:eastAsia="仿宋_GB2312"/>
              </w:rPr>
              <w:t>应用层：包括信息管理中心、数据监控中心、异常告警中心、数据比对中心、数据采集中心、税收监管中心、数据分析中心和综合运维中心等业务板块，全面支撑渭南市成品油综合服务智慧监管服务工作科学化、精细化、智能化。</w:t>
            </w:r>
          </w:p>
          <w:p>
            <w:pPr>
              <w:pStyle w:val="null3"/>
            </w:pPr>
            <w:r>
              <w:rPr>
                <w:rFonts w:ascii="仿宋_GB2312" w:hAnsi="仿宋_GB2312" w:cs="仿宋_GB2312" w:eastAsia="仿宋_GB2312"/>
              </w:rPr>
              <w:t>展示层：面向市领导、市区（县、开发区）税务部门等提供不同形式的平台交互方式，包括大屏终端决策建议专题展示、</w:t>
            </w:r>
            <w:r>
              <w:rPr>
                <w:rFonts w:ascii="仿宋_GB2312" w:hAnsi="仿宋_GB2312" w:cs="仿宋_GB2312" w:eastAsia="仿宋_GB2312"/>
              </w:rPr>
              <w:t>PC端平台服务和移动端应用。</w:t>
            </w:r>
          </w:p>
          <w:p>
            <w:pPr>
              <w:pStyle w:val="null3"/>
            </w:pPr>
            <w:r>
              <w:rPr>
                <w:rFonts w:ascii="仿宋_GB2312" w:hAnsi="仿宋_GB2312" w:cs="仿宋_GB2312" w:eastAsia="仿宋_GB2312"/>
              </w:rPr>
              <w:t>标准规范体系：本项目将遵循国家和行业标准，制定统一的数据交换标准、接口规范、安全规范等，确保系统各部分之间能够无缝对接，实现数据的准确、高效传输。此外，将结合项目实际需求，制定项目特有的技术规范和操作规程，为系统的开发、部署、运维和升级提供明确的指导和依据。</w:t>
            </w:r>
          </w:p>
          <w:p>
            <w:pPr>
              <w:pStyle w:val="null3"/>
            </w:pPr>
            <w:r>
              <w:rPr>
                <w:rFonts w:ascii="仿宋_GB2312" w:hAnsi="仿宋_GB2312" w:cs="仿宋_GB2312" w:eastAsia="仿宋_GB2312"/>
              </w:rPr>
              <w:t>信息安全保障体系：依托渭南市政务云已有安全环境和相关安全保障措施，按照国家安全等级保护三级标准，建设渭南市成品油综合服务智慧监管平台。</w:t>
            </w:r>
          </w:p>
          <w:p>
            <w:pPr>
              <w:pStyle w:val="null3"/>
            </w:pPr>
            <w:r>
              <w:rPr>
                <w:rFonts w:ascii="仿宋_GB2312" w:hAnsi="仿宋_GB2312" w:cs="仿宋_GB2312" w:eastAsia="仿宋_GB2312"/>
              </w:rPr>
              <w:t>运行维护管理体系：平台建设完成后将由渭南市数据局与相关单位共同按照相关标准制定平台运行维护管理机制办法，保障平台安全稳定运行。</w:t>
            </w:r>
          </w:p>
          <w:p>
            <w:pPr>
              <w:pStyle w:val="null3"/>
            </w:pPr>
            <w:r>
              <w:drawing>
                <wp:inline distT="0" distR="0" distB="0" distL="0">
                  <wp:extent cx="1621155" cy="100147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001475"/>
                          </a:xfrm>
                          <a:prstGeom prst="rect">
                            <a:avLst/>
                          </a:prstGeom>
                        </pic:spPr>
                      </pic:pic>
                    </a:graphicData>
                  </a:graphic>
                </wp:inline>
              </w:drawing>
            </w:r>
          </w:p>
          <w:p>
            <w:pPr>
              <w:pStyle w:val="null3"/>
            </w:pPr>
            <w:r>
              <w:rPr>
                <w:rFonts w:ascii="仿宋_GB2312" w:hAnsi="仿宋_GB2312" w:cs="仿宋_GB2312" w:eastAsia="仿宋_GB2312"/>
              </w:rPr>
              <w:t>数据架构图</w:t>
            </w:r>
          </w:p>
          <w:p>
            <w:pPr>
              <w:pStyle w:val="null3"/>
              <w:jc w:val="both"/>
            </w:pPr>
            <w:r>
              <w:rPr>
                <w:rFonts w:ascii="仿宋_GB2312" w:hAnsi="仿宋_GB2312" w:cs="仿宋_GB2312" w:eastAsia="仿宋_GB2312"/>
                <w:sz w:val="21"/>
              </w:rPr>
              <w:t>本期渭南市成品油综合服务智慧监管平台项目数据来源为新建的各类数据采集终端和多部门的数据对接。各类数据统一依托政务云已有政务数据共享交换平台数据治理能力，完成数据接入、清洗、校验、抽取、融合后形成基础信息库（基础库）、对比模型库（模型库）、预警报警库及专题库。为监管平台提供丰富、准确的数据支撑能力。同时，将治理与融合后的数据资源推送上级成品油监管平台，并同步共享至其他相关职能单位，满足数据资产全生命周期管理及数据闭环管理共享开放的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建设目标</w:t>
            </w:r>
          </w:p>
          <w:p>
            <w:pPr>
              <w:pStyle w:val="null3"/>
              <w:jc w:val="both"/>
            </w:pPr>
            <w:r>
              <w:rPr>
                <w:rFonts w:ascii="仿宋_GB2312" w:hAnsi="仿宋_GB2312" w:cs="仿宋_GB2312" w:eastAsia="仿宋_GB2312"/>
                <w:sz w:val="20"/>
              </w:rPr>
              <w:t>加强成品油行业协同监管，打破数据壁垒，打造数据共享精准监管目标，搭建全市数字化管理平台，对接加油站监管软硬件设备和系统，提升税收征管、市场监管、安全监管、成品油流通监管等工作质效，各部门数据资源整合共享，形成协同共治管理的良好局面。</w:t>
            </w:r>
          </w:p>
          <w:p>
            <w:pPr>
              <w:pStyle w:val="null3"/>
              <w:jc w:val="both"/>
            </w:pPr>
            <w:r>
              <w:rPr>
                <w:rFonts w:ascii="仿宋_GB2312" w:hAnsi="仿宋_GB2312" w:cs="仿宋_GB2312" w:eastAsia="仿宋_GB2312"/>
                <w:sz w:val="20"/>
              </w:rPr>
              <w:t>依托视频监控加强对加油站的综合管控，运用大数据、人工智能建立一套基于视频的数据采集与分析体系，对加油站车辆进出、装卸油、加油相关数据进行采集与分析，进而建立车流量与营业数据的比对模型，对加油站实际营业情况和自主申报数据（或实时采集数据）进行比对，对于超出合理区间、存在不匹配风险的情况进行预警告警，同时基于卸油车辆数据与派单数据的比对模型，及时发现运油黑车，对非标油、走私油进行预警告警。为油站的监管提供新的辅助手段，达到防范税源流失、增加财政收入的同时，提升监管的精准化、智能化水平。</w:t>
            </w:r>
          </w:p>
          <w:p>
            <w:pPr>
              <w:pStyle w:val="null3"/>
              <w:jc w:val="both"/>
            </w:pPr>
            <w:r>
              <w:rPr>
                <w:rFonts w:ascii="仿宋_GB2312" w:hAnsi="仿宋_GB2312" w:cs="仿宋_GB2312" w:eastAsia="仿宋_GB2312"/>
                <w:sz w:val="20"/>
              </w:rPr>
              <w:t>基于加强加油站重要数据的保护，运用密码技术、隐私计算技术以及可信身份认证技术基础，确保数据采集和传输的安全性、重要数据机密性和完整性、操作行为的不可否认性，保障加油机显示屏、报税口、抬枪挂枪和液位仪数据的真实性和一致性。这些服务不仅包括数据确权、使用管控、可信交换、数据加密、数据脱敏等核心功能，还涉及行为存证、数据保真、数据保鲜等共性服务，旨在确保数据资产在各个生命周期阶段都得到充分的保护。</w:t>
            </w:r>
          </w:p>
          <w:p>
            <w:pPr>
              <w:pStyle w:val="null3"/>
              <w:jc w:val="both"/>
            </w:pPr>
            <w:r>
              <w:rPr>
                <w:rFonts w:ascii="仿宋_GB2312" w:hAnsi="仿宋_GB2312" w:cs="仿宋_GB2312" w:eastAsia="仿宋_GB2312"/>
                <w:sz w:val="20"/>
              </w:rPr>
              <w:t>基于对运维服务全环节、全流程的精细化管理，解决运维服务管理受理派单流程繁琐、评价机制不健全、现场服务管理难度大、专业培训体系不完善及保密管理存在的重大隐患等问题，彻底实现线上线下的无缝对接，进而达到对终端设备运行状态的全面监控，完善运维服务体系全面建设，提高运维服务质量。</w:t>
            </w:r>
          </w:p>
          <w:p>
            <w:pPr>
              <w:pStyle w:val="null3"/>
              <w:jc w:val="both"/>
            </w:pPr>
            <w:r>
              <w:rPr>
                <w:rFonts w:ascii="仿宋_GB2312" w:hAnsi="仿宋_GB2312" w:cs="仿宋_GB2312" w:eastAsia="仿宋_GB2312"/>
                <w:sz w:val="20"/>
              </w:rPr>
              <w:t>本项目旨在全面强化成品油行业的协同监管效能，致力于打破各部门间的数据壁垒，构建全市数字化管理平台，实现数据共享与精准监管的目标。通过对接加油站监管的软硬件设备与系统，全方位提升税收征管、市场监管、安全监管以及成品油流通监管等工作的质量与效率。推动各部门数据资源的深度整合与共享，形成协同共治的良好管理局面。同时，高度重视数据安全保护与运维服务质量提升，为行业的稳定发展提供坚实保障。</w:t>
            </w:r>
          </w:p>
          <w:p>
            <w:pPr>
              <w:pStyle w:val="null3"/>
              <w:outlineLvl w:val="2"/>
            </w:pPr>
            <w:r>
              <w:rPr>
                <w:rFonts w:ascii="仿宋_GB2312" w:hAnsi="仿宋_GB2312" w:cs="仿宋_GB2312" w:eastAsia="仿宋_GB2312"/>
                <w:sz w:val="20"/>
                <w:b/>
              </w:rPr>
              <w:t>2.1</w:t>
            </w:r>
            <w:r>
              <w:rPr>
                <w:rFonts w:ascii="仿宋_GB2312" w:hAnsi="仿宋_GB2312" w:cs="仿宋_GB2312" w:eastAsia="仿宋_GB2312"/>
                <w:sz w:val="20"/>
                <w:b/>
              </w:rPr>
              <w:t>建设目标</w:t>
            </w:r>
          </w:p>
          <w:p>
            <w:pPr>
              <w:pStyle w:val="null3"/>
              <w:outlineLvl w:val="2"/>
            </w:pPr>
            <w:r>
              <w:rPr>
                <w:rFonts w:ascii="仿宋_GB2312" w:hAnsi="仿宋_GB2312" w:cs="仿宋_GB2312" w:eastAsia="仿宋_GB2312"/>
                <w:sz w:val="20"/>
                <w:b/>
              </w:rPr>
              <w:t>（1）实现数据初步对接与采集</w:t>
            </w:r>
          </w:p>
          <w:p>
            <w:pPr>
              <w:pStyle w:val="null3"/>
              <w:jc w:val="both"/>
            </w:pPr>
            <w:r>
              <w:rPr>
                <w:rFonts w:ascii="仿宋_GB2312" w:hAnsi="仿宋_GB2312" w:cs="仿宋_GB2312" w:eastAsia="仿宋_GB2312"/>
                <w:sz w:val="20"/>
              </w:rPr>
              <w:t>实现各</w:t>
            </w:r>
            <w:r>
              <w:rPr>
                <w:rFonts w:ascii="仿宋_GB2312" w:hAnsi="仿宋_GB2312" w:cs="仿宋_GB2312" w:eastAsia="仿宋_GB2312"/>
                <w:sz w:val="20"/>
              </w:rPr>
              <w:t>行业</w:t>
            </w:r>
            <w:r>
              <w:rPr>
                <w:rFonts w:ascii="仿宋_GB2312" w:hAnsi="仿宋_GB2312" w:cs="仿宋_GB2312" w:eastAsia="仿宋_GB2312"/>
                <w:sz w:val="20"/>
              </w:rPr>
              <w:t>监管系统与加油站现场设备的数据对接，完成对加油机销售数据、油罐进出油数据、车辆进出信息、装卸油数据、加油相关数据等关键数据的初步采集，并保障数据的准确性与完整性。</w:t>
            </w:r>
          </w:p>
          <w:p>
            <w:pPr>
              <w:pStyle w:val="null3"/>
              <w:jc w:val="both"/>
            </w:pPr>
            <w:r>
              <w:rPr>
                <w:rFonts w:ascii="仿宋_GB2312" w:hAnsi="仿宋_GB2312" w:cs="仿宋_GB2312" w:eastAsia="仿宋_GB2312"/>
                <w:sz w:val="20"/>
                <w:b/>
              </w:rPr>
              <w:t>（2）建立基础风险预警机制</w:t>
            </w:r>
          </w:p>
          <w:p>
            <w:pPr>
              <w:pStyle w:val="null3"/>
              <w:jc w:val="both"/>
            </w:pPr>
            <w:r>
              <w:rPr>
                <w:rFonts w:ascii="仿宋_GB2312" w:hAnsi="仿宋_GB2312" w:cs="仿宋_GB2312" w:eastAsia="仿宋_GB2312"/>
                <w:sz w:val="20"/>
              </w:rPr>
              <w:t>初步建立车流量与营业数据的比对模型，以及卸油车辆数据与派单数据的比对模型，能够对超出合理区间、存在不匹配风险的情况进行初步预警告警。</w:t>
            </w:r>
          </w:p>
          <w:p>
            <w:pPr>
              <w:pStyle w:val="null3"/>
              <w:outlineLvl w:val="2"/>
            </w:pPr>
            <w:r>
              <w:rPr>
                <w:rFonts w:ascii="仿宋_GB2312" w:hAnsi="仿宋_GB2312" w:cs="仿宋_GB2312" w:eastAsia="仿宋_GB2312"/>
                <w:sz w:val="20"/>
                <w:b/>
              </w:rPr>
              <w:t>2.2</w:t>
            </w:r>
            <w:r>
              <w:rPr>
                <w:rFonts w:ascii="仿宋_GB2312" w:hAnsi="仿宋_GB2312" w:cs="仿宋_GB2312" w:eastAsia="仿宋_GB2312"/>
                <w:sz w:val="20"/>
                <w:b/>
              </w:rPr>
              <w:t>业务目标</w:t>
            </w:r>
          </w:p>
          <w:p>
            <w:pPr>
              <w:pStyle w:val="null3"/>
              <w:outlineLvl w:val="2"/>
            </w:pPr>
            <w:r>
              <w:rPr>
                <w:rFonts w:ascii="仿宋_GB2312" w:hAnsi="仿宋_GB2312" w:cs="仿宋_GB2312" w:eastAsia="仿宋_GB2312"/>
                <w:sz w:val="20"/>
                <w:b/>
              </w:rPr>
              <w:t>(1)提升监管精准度</w:t>
            </w:r>
          </w:p>
          <w:p>
            <w:pPr>
              <w:pStyle w:val="null3"/>
              <w:jc w:val="both"/>
            </w:pPr>
            <w:r>
              <w:rPr>
                <w:rFonts w:ascii="仿宋_GB2312" w:hAnsi="仿宋_GB2312" w:cs="仿宋_GB2312" w:eastAsia="仿宋_GB2312"/>
                <w:sz w:val="20"/>
              </w:rPr>
              <w:t>通过对加油站各项业务数据的深入分析，准确识别税收征管、市场监管、安全监管、成品油流通监管等环节中的潜在风险与异常情况，为监管部门提供精准的决策支持，有效防范税源流失，打击非标油、走私油等违法违规行为。</w:t>
            </w:r>
          </w:p>
          <w:p>
            <w:pPr>
              <w:pStyle w:val="null3"/>
              <w:jc w:val="both"/>
            </w:pPr>
            <w:r>
              <w:rPr>
                <w:rFonts w:ascii="仿宋_GB2312" w:hAnsi="仿宋_GB2312" w:cs="仿宋_GB2312" w:eastAsia="仿宋_GB2312"/>
                <w:sz w:val="20"/>
                <w:b/>
              </w:rPr>
              <w:t>(2)优化业务流程</w:t>
            </w:r>
          </w:p>
          <w:p>
            <w:pPr>
              <w:pStyle w:val="null3"/>
              <w:jc w:val="both"/>
            </w:pPr>
            <w:r>
              <w:rPr>
                <w:rFonts w:ascii="仿宋_GB2312" w:hAnsi="仿宋_GB2312" w:cs="仿宋_GB2312" w:eastAsia="仿宋_GB2312"/>
                <w:sz w:val="20"/>
              </w:rPr>
              <w:t>借助数字化管理平台，实现各部门业务流程的优化与协同，减少人工干预，提高工作效率。例如，通过线上监管实现进销存台账管理、加油机运行状态监测等工作，简化工作流程，降低管理成本。</w:t>
            </w:r>
          </w:p>
          <w:p>
            <w:pPr>
              <w:pStyle w:val="null3"/>
              <w:jc w:val="both"/>
            </w:pPr>
            <w:r>
              <w:rPr>
                <w:rFonts w:ascii="仿宋_GB2312" w:hAnsi="仿宋_GB2312" w:cs="仿宋_GB2312" w:eastAsia="仿宋_GB2312"/>
                <w:sz w:val="20"/>
                <w:b/>
              </w:rPr>
              <w:t>(3)加强行业规范管理</w:t>
            </w:r>
          </w:p>
          <w:p>
            <w:pPr>
              <w:pStyle w:val="null3"/>
              <w:jc w:val="both"/>
            </w:pPr>
            <w:r>
              <w:rPr>
                <w:rFonts w:ascii="仿宋_GB2312" w:hAnsi="仿宋_GB2312" w:cs="仿宋_GB2312" w:eastAsia="仿宋_GB2312"/>
                <w:sz w:val="20"/>
              </w:rPr>
              <w:t>健全油品购销和出入库台账制度，实现成品油流通领域来源销售链条的可追溯，全面掌握辖区内成品油流通整体状况，促进行业规范化发展。</w:t>
            </w:r>
          </w:p>
          <w:p>
            <w:pPr>
              <w:pStyle w:val="null3"/>
              <w:outlineLvl w:val="2"/>
            </w:pPr>
            <w:r>
              <w:rPr>
                <w:rFonts w:ascii="仿宋_GB2312" w:hAnsi="仿宋_GB2312" w:cs="仿宋_GB2312" w:eastAsia="仿宋_GB2312"/>
                <w:sz w:val="20"/>
                <w:b/>
              </w:rPr>
              <w:t>2.3</w:t>
            </w:r>
            <w:r>
              <w:rPr>
                <w:rFonts w:ascii="仿宋_GB2312" w:hAnsi="仿宋_GB2312" w:cs="仿宋_GB2312" w:eastAsia="仿宋_GB2312"/>
                <w:sz w:val="20"/>
                <w:b/>
              </w:rPr>
              <w:t>技术目标</w:t>
            </w:r>
          </w:p>
          <w:p>
            <w:pPr>
              <w:pStyle w:val="null3"/>
              <w:outlineLvl w:val="2"/>
            </w:pPr>
            <w:r>
              <w:rPr>
                <w:rFonts w:ascii="仿宋_GB2312" w:hAnsi="仿宋_GB2312" w:cs="仿宋_GB2312" w:eastAsia="仿宋_GB2312"/>
                <w:sz w:val="20"/>
                <w:b/>
              </w:rPr>
              <w:t>(1)构建先进的数据采集与分析体系</w:t>
            </w:r>
          </w:p>
          <w:p>
            <w:pPr>
              <w:pStyle w:val="null3"/>
              <w:jc w:val="both"/>
            </w:pPr>
            <w:r>
              <w:rPr>
                <w:rFonts w:ascii="仿宋_GB2312" w:hAnsi="仿宋_GB2312" w:cs="仿宋_GB2312" w:eastAsia="仿宋_GB2312"/>
                <w:sz w:val="20"/>
              </w:rPr>
              <w:t>运用互联网+大数据技术，建立一套基于视频的数据采集与分析体系，实现对各类数据的高效采集、实时分析与深度挖掘，为监管决策提供数据支撑。</w:t>
            </w:r>
          </w:p>
          <w:p>
            <w:pPr>
              <w:pStyle w:val="null3"/>
              <w:jc w:val="both"/>
            </w:pPr>
            <w:r>
              <w:rPr>
                <w:rFonts w:ascii="仿宋_GB2312" w:hAnsi="仿宋_GB2312" w:cs="仿宋_GB2312" w:eastAsia="仿宋_GB2312"/>
                <w:sz w:val="20"/>
                <w:b/>
              </w:rPr>
              <w:t>(2)保障数据安全</w:t>
            </w:r>
          </w:p>
          <w:p>
            <w:pPr>
              <w:pStyle w:val="null3"/>
              <w:jc w:val="both"/>
            </w:pPr>
            <w:r>
              <w:rPr>
                <w:rFonts w:ascii="仿宋_GB2312" w:hAnsi="仿宋_GB2312" w:cs="仿宋_GB2312" w:eastAsia="仿宋_GB2312"/>
                <w:sz w:val="20"/>
              </w:rPr>
              <w:t>运用密码技术、隐私计算技术以及可信身份认证技术，确保数据采集和传输的安全性、重要数据机密性和完整性、操作行为的不可否认性，保障加油机显示屏、报税口、抬枪挂枪和液位仪数据的真实性和一致性。</w:t>
            </w:r>
          </w:p>
          <w:p>
            <w:pPr>
              <w:pStyle w:val="null3"/>
              <w:jc w:val="both"/>
            </w:pPr>
            <w:r>
              <w:rPr>
                <w:rFonts w:ascii="仿宋_GB2312" w:hAnsi="仿宋_GB2312" w:cs="仿宋_GB2312" w:eastAsia="仿宋_GB2312"/>
                <w:sz w:val="20"/>
                <w:b/>
              </w:rPr>
              <w:t>(3)实现系统稳定运行与高效运维</w:t>
            </w:r>
          </w:p>
          <w:p>
            <w:pPr>
              <w:pStyle w:val="null3"/>
              <w:jc w:val="both"/>
            </w:pPr>
            <w:r>
              <w:rPr>
                <w:rFonts w:ascii="仿宋_GB2312" w:hAnsi="仿宋_GB2312" w:cs="仿宋_GB2312" w:eastAsia="仿宋_GB2312"/>
                <w:sz w:val="20"/>
              </w:rPr>
              <w:t>通过智能运维服务系统实现对终端设备运行状态的全面监控，解决运维服务管理中的各种问题，提高运维服务质量，保障各监管系统的稳定、高效运行。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3.需执行的国家相关标准、行业标准、地方标准或者其他标准、规范标准</w:t>
            </w:r>
          </w:p>
          <w:p>
            <w:pPr>
              <w:pStyle w:val="null3"/>
            </w:pPr>
            <w:r>
              <w:rPr>
                <w:rFonts w:ascii="仿宋_GB2312" w:hAnsi="仿宋_GB2312" w:cs="仿宋_GB2312" w:eastAsia="仿宋_GB2312"/>
              </w:rPr>
              <w:t>（1）《国务院办公厅关于推动成品油流通高质量发展的意见》（国办发〔2025〕5号）；</w:t>
            </w:r>
          </w:p>
          <w:p>
            <w:pPr>
              <w:pStyle w:val="null3"/>
            </w:pPr>
            <w:r>
              <w:rPr>
                <w:rFonts w:ascii="仿宋_GB2312" w:hAnsi="仿宋_GB2312" w:cs="仿宋_GB2312" w:eastAsia="仿宋_GB2312"/>
              </w:rPr>
              <w:t>（2）《国务院办公厅转发国家经贸委等部门关于进一步整顿和规范成品油市场秩序意见的通知》（国办发〔2001〕72号）；</w:t>
            </w:r>
          </w:p>
          <w:p>
            <w:pPr>
              <w:pStyle w:val="null3"/>
            </w:pPr>
            <w:r>
              <w:rPr>
                <w:rFonts w:ascii="仿宋_GB2312" w:hAnsi="仿宋_GB2312" w:cs="仿宋_GB2312" w:eastAsia="仿宋_GB2312"/>
              </w:rPr>
              <w:t>（3）《国务院办公厅关于印发互联网+政务服务技术体系建设指南的通知》（国办函〔2016〕108号）；</w:t>
            </w:r>
          </w:p>
          <w:p>
            <w:pPr>
              <w:pStyle w:val="null3"/>
            </w:pPr>
            <w:r>
              <w:rPr>
                <w:rFonts w:ascii="仿宋_GB2312" w:hAnsi="仿宋_GB2312" w:cs="仿宋_GB2312" w:eastAsia="仿宋_GB2312"/>
              </w:rPr>
              <w:t>（4）《中共中央关于全面深化改革若干重大问题的决定》；</w:t>
            </w:r>
          </w:p>
          <w:p>
            <w:pPr>
              <w:pStyle w:val="null3"/>
            </w:pPr>
            <w:r>
              <w:rPr>
                <w:rFonts w:ascii="仿宋_GB2312" w:hAnsi="仿宋_GB2312" w:cs="仿宋_GB2312" w:eastAsia="仿宋_GB2312"/>
              </w:rPr>
              <w:t>（5）《数字中国建设发展报告（2020）》；</w:t>
            </w:r>
          </w:p>
          <w:p>
            <w:pPr>
              <w:pStyle w:val="null3"/>
            </w:pPr>
            <w:r>
              <w:rPr>
                <w:rFonts w:ascii="仿宋_GB2312" w:hAnsi="仿宋_GB2312" w:cs="仿宋_GB2312" w:eastAsia="仿宋_GB2312"/>
              </w:rPr>
              <w:t>（6）《国务院关于印发“十四五”数字经济发展规划的通知》（国发〔2021〕29号）；</w:t>
            </w:r>
          </w:p>
          <w:p>
            <w:pPr>
              <w:pStyle w:val="null3"/>
            </w:pPr>
            <w:r>
              <w:rPr>
                <w:rFonts w:ascii="仿宋_GB2312" w:hAnsi="仿宋_GB2312" w:cs="仿宋_GB2312" w:eastAsia="仿宋_GB2312"/>
              </w:rPr>
              <w:t>（7）《2021-2035年国家中长期科学与技术发展规划纲要》；</w:t>
            </w:r>
          </w:p>
          <w:p>
            <w:pPr>
              <w:pStyle w:val="null3"/>
            </w:pPr>
            <w:r>
              <w:rPr>
                <w:rFonts w:ascii="仿宋_GB2312" w:hAnsi="仿宋_GB2312" w:cs="仿宋_GB2312" w:eastAsia="仿宋_GB2312"/>
              </w:rPr>
              <w:t>（8）《国家发展改革委关于进一步放开建设项目专业服务价格的通知》（发改价格〔2015〕299号）；</w:t>
            </w:r>
          </w:p>
          <w:p>
            <w:pPr>
              <w:pStyle w:val="null3"/>
            </w:pPr>
            <w:r>
              <w:rPr>
                <w:rFonts w:ascii="仿宋_GB2312" w:hAnsi="仿宋_GB2312" w:cs="仿宋_GB2312" w:eastAsia="仿宋_GB2312"/>
              </w:rPr>
              <w:t>（9）《国家电子政务工程建设项目可行性研究报告编制要求》；</w:t>
            </w:r>
          </w:p>
          <w:p>
            <w:pPr>
              <w:pStyle w:val="null3"/>
            </w:pPr>
            <w:r>
              <w:rPr>
                <w:rFonts w:ascii="仿宋_GB2312" w:hAnsi="仿宋_GB2312" w:cs="仿宋_GB2312" w:eastAsia="仿宋_GB2312"/>
              </w:rPr>
              <w:t>（10）《市政工程投资估算编制办法》（建标〔2007〕164号）；</w:t>
            </w:r>
          </w:p>
          <w:p>
            <w:pPr>
              <w:pStyle w:val="null3"/>
            </w:pPr>
            <w:r>
              <w:rPr>
                <w:rFonts w:ascii="仿宋_GB2312" w:hAnsi="仿宋_GB2312" w:cs="仿宋_GB2312" w:eastAsia="仿宋_GB2312"/>
              </w:rPr>
              <w:t>（11）《财政部关于印发&lt;基本建设财务规则&gt;的通知》（财建〔2016〕504号）；</w:t>
            </w:r>
          </w:p>
          <w:p>
            <w:pPr>
              <w:pStyle w:val="null3"/>
            </w:pPr>
            <w:r>
              <w:rPr>
                <w:rFonts w:ascii="仿宋_GB2312" w:hAnsi="仿宋_GB2312" w:cs="仿宋_GB2312" w:eastAsia="仿宋_GB2312"/>
              </w:rPr>
              <w:t>（12）《电子建设工程概（预）算编制办法》（信部规〔2005〕36号）；</w:t>
            </w:r>
          </w:p>
          <w:p>
            <w:pPr>
              <w:pStyle w:val="null3"/>
            </w:pPr>
            <w:r>
              <w:rPr>
                <w:rFonts w:ascii="仿宋_GB2312" w:hAnsi="仿宋_GB2312" w:cs="仿宋_GB2312" w:eastAsia="仿宋_GB2312"/>
              </w:rPr>
              <w:t>（13）《中华人民共和国计算机信息平台安全保护条例》（国务院147号令）；</w:t>
            </w:r>
          </w:p>
          <w:p>
            <w:pPr>
              <w:pStyle w:val="null3"/>
            </w:pPr>
            <w:r>
              <w:rPr>
                <w:rFonts w:ascii="仿宋_GB2312" w:hAnsi="仿宋_GB2312" w:cs="仿宋_GB2312" w:eastAsia="仿宋_GB2312"/>
              </w:rPr>
              <w:t>（14）《关于信息安全等级保护工作的实施意见》（公通字〔2004〕66号）；</w:t>
            </w:r>
          </w:p>
          <w:p>
            <w:pPr>
              <w:pStyle w:val="null3"/>
            </w:pPr>
            <w:r>
              <w:rPr>
                <w:rFonts w:ascii="仿宋_GB2312" w:hAnsi="仿宋_GB2312" w:cs="仿宋_GB2312" w:eastAsia="仿宋_GB2312"/>
              </w:rPr>
              <w:t>（15）《信息安全等级保护管理办法》（公通字〔2007〕43号）；</w:t>
            </w:r>
          </w:p>
          <w:p>
            <w:pPr>
              <w:pStyle w:val="null3"/>
            </w:pPr>
            <w:r>
              <w:rPr>
                <w:rFonts w:ascii="仿宋_GB2312" w:hAnsi="仿宋_GB2312" w:cs="仿宋_GB2312" w:eastAsia="仿宋_GB2312"/>
              </w:rPr>
              <w:t>（16）《国家信息化领导小组关于加强信息安全保障工作的意见》(中办发〔2003〕27号)；</w:t>
            </w:r>
          </w:p>
          <w:p>
            <w:pPr>
              <w:pStyle w:val="null3"/>
            </w:pPr>
            <w:r>
              <w:rPr>
                <w:rFonts w:ascii="仿宋_GB2312" w:hAnsi="仿宋_GB2312" w:cs="仿宋_GB2312" w:eastAsia="仿宋_GB2312"/>
              </w:rPr>
              <w:t>（17）《国务院关于加快推进“互联网+政务服务”工作的指导意见》（国发〔2016〕55号）；</w:t>
            </w:r>
          </w:p>
          <w:p>
            <w:pPr>
              <w:pStyle w:val="null3"/>
            </w:pPr>
            <w:r>
              <w:rPr>
                <w:rFonts w:ascii="仿宋_GB2312" w:hAnsi="仿宋_GB2312" w:cs="仿宋_GB2312" w:eastAsia="仿宋_GB2312"/>
              </w:rPr>
              <w:t>（18）《信息安全技术网络安全等级保护定级指南》（GB/T22240-2020）；</w:t>
            </w:r>
          </w:p>
          <w:p>
            <w:pPr>
              <w:pStyle w:val="null3"/>
            </w:pPr>
            <w:r>
              <w:rPr>
                <w:rFonts w:ascii="仿宋_GB2312" w:hAnsi="仿宋_GB2312" w:cs="仿宋_GB2312" w:eastAsia="仿宋_GB2312"/>
              </w:rPr>
              <w:t>（19）《信息安全技术网络安全等级保护测评过程指南》（GB/T28449-2018）；</w:t>
            </w:r>
          </w:p>
          <w:p>
            <w:pPr>
              <w:pStyle w:val="null3"/>
            </w:pPr>
            <w:r>
              <w:rPr>
                <w:rFonts w:ascii="仿宋_GB2312" w:hAnsi="仿宋_GB2312" w:cs="仿宋_GB2312" w:eastAsia="仿宋_GB2312"/>
              </w:rPr>
              <w:t>（20）《网络安全技术信息技术安全评估准则》（GB/T18336.1-2024）；</w:t>
            </w:r>
          </w:p>
          <w:p>
            <w:pPr>
              <w:pStyle w:val="null3"/>
            </w:pPr>
            <w:r>
              <w:rPr>
                <w:rFonts w:ascii="仿宋_GB2312" w:hAnsi="仿宋_GB2312" w:cs="仿宋_GB2312" w:eastAsia="仿宋_GB2312"/>
              </w:rPr>
              <w:t>（21）《信息安全技术信息系统安全管理要求》（GB/T20269-2006）；</w:t>
            </w:r>
          </w:p>
          <w:p>
            <w:pPr>
              <w:pStyle w:val="null3"/>
            </w:pPr>
            <w:r>
              <w:rPr>
                <w:rFonts w:ascii="仿宋_GB2312" w:hAnsi="仿宋_GB2312" w:cs="仿宋_GB2312" w:eastAsia="仿宋_GB2312"/>
              </w:rPr>
              <w:t>（22）《信息安全技术信息安全风险评估规范》（GB/T20984-2007）；</w:t>
            </w:r>
          </w:p>
          <w:p>
            <w:pPr>
              <w:pStyle w:val="null3"/>
            </w:pPr>
            <w:r>
              <w:rPr>
                <w:rFonts w:ascii="仿宋_GB2312" w:hAnsi="仿宋_GB2312" w:cs="仿宋_GB2312" w:eastAsia="仿宋_GB2312"/>
              </w:rPr>
              <w:t>（23）《信息安全技术数据库管理系统安全技术要求》（GB/T20273-2006）；</w:t>
            </w:r>
          </w:p>
          <w:p>
            <w:pPr>
              <w:pStyle w:val="null3"/>
            </w:pPr>
            <w:r>
              <w:rPr>
                <w:rFonts w:ascii="仿宋_GB2312" w:hAnsi="仿宋_GB2312" w:cs="仿宋_GB2312" w:eastAsia="仿宋_GB2312"/>
              </w:rPr>
              <w:t>（24）《计算机软件可靠性和可维护性管理》（GB/T14394-2008）；</w:t>
            </w:r>
          </w:p>
          <w:p>
            <w:pPr>
              <w:pStyle w:val="null3"/>
            </w:pPr>
            <w:r>
              <w:rPr>
                <w:rFonts w:ascii="仿宋_GB2312" w:hAnsi="仿宋_GB2312" w:cs="仿宋_GB2312" w:eastAsia="仿宋_GB2312"/>
              </w:rPr>
              <w:t>（25）《计算机软件测试文档编制规范》（GB/T9386-2008）；</w:t>
            </w:r>
          </w:p>
          <w:p>
            <w:pPr>
              <w:pStyle w:val="null3"/>
            </w:pPr>
            <w:r>
              <w:rPr>
                <w:rFonts w:ascii="仿宋_GB2312" w:hAnsi="仿宋_GB2312" w:cs="仿宋_GB2312" w:eastAsia="仿宋_GB2312"/>
              </w:rPr>
              <w:t>（26）《计算机软件需求规格说明规范》（GB/T9385-2008）；</w:t>
            </w:r>
          </w:p>
          <w:p>
            <w:pPr>
              <w:pStyle w:val="null3"/>
            </w:pPr>
            <w:r>
              <w:rPr>
                <w:rFonts w:ascii="仿宋_GB2312" w:hAnsi="仿宋_GB2312" w:cs="仿宋_GB2312" w:eastAsia="仿宋_GB2312"/>
              </w:rPr>
              <w:t>（27）《计算机软件测试规范》（GB/T15532-2008）；</w:t>
            </w:r>
          </w:p>
          <w:p>
            <w:pPr>
              <w:pStyle w:val="null3"/>
            </w:pPr>
            <w:r>
              <w:rPr>
                <w:rFonts w:ascii="仿宋_GB2312" w:hAnsi="仿宋_GB2312" w:cs="仿宋_GB2312" w:eastAsia="仿宋_GB2312"/>
              </w:rPr>
              <w:t>（28）《安全防范工程技术规范》（GB50348-2004）；</w:t>
            </w:r>
          </w:p>
          <w:p>
            <w:pPr>
              <w:pStyle w:val="null3"/>
            </w:pPr>
            <w:r>
              <w:rPr>
                <w:rFonts w:ascii="仿宋_GB2312" w:hAnsi="仿宋_GB2312" w:cs="仿宋_GB2312" w:eastAsia="仿宋_GB2312"/>
              </w:rPr>
              <w:t>（29）《信息技术元数据注册系统》（GB/T18391.1-2009）；</w:t>
            </w:r>
          </w:p>
          <w:p>
            <w:pPr>
              <w:pStyle w:val="null3"/>
            </w:pPr>
            <w:r>
              <w:rPr>
                <w:rFonts w:ascii="仿宋_GB2312" w:hAnsi="仿宋_GB2312" w:cs="仿宋_GB2312" w:eastAsia="仿宋_GB2312"/>
              </w:rPr>
              <w:t>（30）《信息技术互操作性元模型框架》（GB/T32392-2015）；</w:t>
            </w:r>
          </w:p>
          <w:p>
            <w:pPr>
              <w:pStyle w:val="null3"/>
            </w:pPr>
            <w:r>
              <w:rPr>
                <w:rFonts w:ascii="仿宋_GB2312" w:hAnsi="仿宋_GB2312" w:cs="仿宋_GB2312" w:eastAsia="仿宋_GB2312"/>
              </w:rPr>
              <w:t>（31）《信息技术实现元数据注册系统内容一致性的规程》（GB/T23824.1-2009）；</w:t>
            </w:r>
          </w:p>
          <w:p>
            <w:pPr>
              <w:pStyle w:val="null3"/>
            </w:pPr>
            <w:r>
              <w:rPr>
                <w:rFonts w:ascii="仿宋_GB2312" w:hAnsi="仿宋_GB2312" w:cs="仿宋_GB2312" w:eastAsia="仿宋_GB2312"/>
              </w:rPr>
              <w:t>（32）《信息技术元数据模块》（20080046-T-469）；</w:t>
            </w:r>
          </w:p>
          <w:p>
            <w:pPr>
              <w:pStyle w:val="null3"/>
            </w:pPr>
            <w:r>
              <w:rPr>
                <w:rFonts w:ascii="仿宋_GB2312" w:hAnsi="仿宋_GB2312" w:cs="仿宋_GB2312" w:eastAsia="仿宋_GB2312"/>
              </w:rPr>
              <w:t>（33）《信息技术安全技术信息安全管理体系实施指南》（GB/T31496-2015）；</w:t>
            </w:r>
          </w:p>
          <w:p>
            <w:pPr>
              <w:pStyle w:val="null3"/>
            </w:pPr>
            <w:r>
              <w:rPr>
                <w:rFonts w:ascii="仿宋_GB2312" w:hAnsi="仿宋_GB2312" w:cs="仿宋_GB2312" w:eastAsia="仿宋_GB2312"/>
              </w:rPr>
              <w:t>（34）《信息技术安全技术信息安全控制实用规则》（GB/T22081-2016）；</w:t>
            </w:r>
          </w:p>
          <w:p>
            <w:pPr>
              <w:pStyle w:val="null3"/>
            </w:pPr>
            <w:r>
              <w:rPr>
                <w:rFonts w:ascii="仿宋_GB2312" w:hAnsi="仿宋_GB2312" w:cs="仿宋_GB2312" w:eastAsia="仿宋_GB2312"/>
              </w:rPr>
              <w:t>（35）《信息技术安全技术信息安全管理体系要求》（GB/T22080-2016）；</w:t>
            </w:r>
          </w:p>
          <w:p>
            <w:pPr>
              <w:pStyle w:val="null3"/>
            </w:pPr>
            <w:r>
              <w:rPr>
                <w:rFonts w:ascii="仿宋_GB2312" w:hAnsi="仿宋_GB2312" w:cs="仿宋_GB2312" w:eastAsia="仿宋_GB2312"/>
              </w:rPr>
              <w:t>（36）《信息技术云数据存储和管理》（GB/T31916-2018）；</w:t>
            </w:r>
          </w:p>
          <w:p>
            <w:pPr>
              <w:pStyle w:val="null3"/>
            </w:pPr>
            <w:r>
              <w:rPr>
                <w:rFonts w:ascii="仿宋_GB2312" w:hAnsi="仿宋_GB2312" w:cs="仿宋_GB2312" w:eastAsia="仿宋_GB2312"/>
              </w:rPr>
              <w:t>（37）《跨平台的元数据检索、提取与汇交协议》（20080485-T-469）；</w:t>
            </w:r>
          </w:p>
          <w:p>
            <w:pPr>
              <w:pStyle w:val="null3"/>
            </w:pPr>
            <w:r>
              <w:rPr>
                <w:rFonts w:ascii="仿宋_GB2312" w:hAnsi="仿宋_GB2312" w:cs="仿宋_GB2312" w:eastAsia="仿宋_GB2312"/>
              </w:rPr>
              <w:t>（38）《信息安全技术云计算服务安全能力要求》（GB/T31168-2014）；</w:t>
            </w:r>
          </w:p>
          <w:p>
            <w:pPr>
              <w:pStyle w:val="null3"/>
            </w:pPr>
            <w:r>
              <w:rPr>
                <w:rFonts w:ascii="仿宋_GB2312" w:hAnsi="仿宋_GB2312" w:cs="仿宋_GB2312" w:eastAsia="仿宋_GB2312"/>
              </w:rPr>
              <w:t>（39）《物联网应用支撑平台工程技术标准》（GB/T51243-2017）；</w:t>
            </w:r>
          </w:p>
          <w:p>
            <w:pPr>
              <w:pStyle w:val="null3"/>
            </w:pPr>
            <w:r>
              <w:rPr>
                <w:rFonts w:ascii="仿宋_GB2312" w:hAnsi="仿宋_GB2312" w:cs="仿宋_GB2312" w:eastAsia="仿宋_GB2312"/>
              </w:rPr>
              <w:t>（40）《物联网系统接口要求》（GB/T35319-2017）；</w:t>
            </w:r>
          </w:p>
          <w:p>
            <w:pPr>
              <w:pStyle w:val="null3"/>
            </w:pPr>
            <w:r>
              <w:rPr>
                <w:rFonts w:ascii="仿宋_GB2312" w:hAnsi="仿宋_GB2312" w:cs="仿宋_GB2312" w:eastAsia="仿宋_GB2312"/>
              </w:rPr>
              <w:t>（41）《物联网信息交换和共享第1部分：总体架构》（2GB/T36478.1-2018）；</w:t>
            </w:r>
          </w:p>
          <w:p>
            <w:pPr>
              <w:pStyle w:val="null3"/>
            </w:pPr>
            <w:r>
              <w:rPr>
                <w:rFonts w:ascii="仿宋_GB2312" w:hAnsi="仿宋_GB2312" w:cs="仿宋_GB2312" w:eastAsia="仿宋_GB2312"/>
              </w:rPr>
              <w:t>（42）《物联网信息交换和共享第2部分：通用技术要求》（3GB/T36478.2-2018）。</w:t>
            </w:r>
          </w:p>
          <w:p>
            <w:pPr>
              <w:pStyle w:val="null3"/>
              <w:jc w:val="both"/>
            </w:pPr>
            <w:r>
              <w:rPr>
                <w:rFonts w:ascii="仿宋_GB2312" w:hAnsi="仿宋_GB2312" w:cs="仿宋_GB2312" w:eastAsia="仿宋_GB2312"/>
                <w:sz w:val="21"/>
              </w:rPr>
              <w:t>执行的国家相关标准、行业标准、地方标准以及其他标准、规范，并统一执行最新标准规范。</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关联系统</w:t>
            </w:r>
            <w:r>
              <w:rPr>
                <w:rFonts w:ascii="仿宋_GB2312" w:hAnsi="仿宋_GB2312" w:cs="仿宋_GB2312" w:eastAsia="仿宋_GB2312"/>
                <w:sz w:val="20"/>
                <w:b/>
              </w:rPr>
              <w:t>对接要求</w:t>
            </w:r>
          </w:p>
          <w:p>
            <w:pPr>
              <w:pStyle w:val="null3"/>
              <w:jc w:val="both"/>
            </w:pPr>
            <w:r>
              <w:rPr>
                <w:rFonts w:ascii="仿宋_GB2312" w:hAnsi="仿宋_GB2312" w:cs="仿宋_GB2312" w:eastAsia="仿宋_GB2312"/>
                <w:sz w:val="20"/>
              </w:rPr>
              <w:t>渭南市成品油综合服务智慧监管平台需实现与</w:t>
            </w:r>
            <w:r>
              <w:rPr>
                <w:rFonts w:ascii="仿宋_GB2312" w:hAnsi="仿宋_GB2312" w:cs="仿宋_GB2312" w:eastAsia="仿宋_GB2312"/>
                <w:sz w:val="20"/>
              </w:rPr>
              <w:t>中石油集团公司零管系统</w:t>
            </w:r>
            <w:r>
              <w:rPr>
                <w:rFonts w:ascii="仿宋_GB2312" w:hAnsi="仿宋_GB2312" w:cs="仿宋_GB2312" w:eastAsia="仿宋_GB2312"/>
                <w:sz w:val="20"/>
              </w:rPr>
              <w:t>、中石化集团公司零管系统、延长石油集团公司零管系统、韩城市成品油监管系统、行政审批局证照审批、陕西省商务厅成品油市场监管平台、应急管理局危险化学品证照管理系统、交通运输局危化品车辆管理系统</w:t>
            </w:r>
            <w:r>
              <w:rPr>
                <w:rFonts w:ascii="仿宋_GB2312" w:hAnsi="仿宋_GB2312" w:cs="仿宋_GB2312" w:eastAsia="仿宋_GB2312"/>
                <w:sz w:val="20"/>
              </w:rPr>
              <w:t>进行对接，确保各系统间数据流通顺畅、信息共享及时。税务监管中心部署于税务内网，需和税务系统大数据风险监测处置进行联动。</w:t>
            </w:r>
          </w:p>
          <w:p>
            <w:pPr>
              <w:pStyle w:val="null3"/>
              <w:jc w:val="both"/>
            </w:pPr>
            <w:r>
              <w:rPr>
                <w:rFonts w:ascii="仿宋_GB2312" w:hAnsi="仿宋_GB2312" w:cs="仿宋_GB2312" w:eastAsia="仿宋_GB2312"/>
                <w:sz w:val="20"/>
              </w:rPr>
              <w:t>需具备良好的可扩展性，对接接口应采用标准化设计，便于后续新增系统或功能模块时快速接入。对接过程需符合国家信息安全相关标准，保障数据在传输和存储过程中的安全性，防止数据泄露、篡改或被非法访问。需提供全程技术支持服务，包括系统部署、调试、人员培训等，确保各系统顺利完成对接。</w:t>
            </w:r>
          </w:p>
          <w:p>
            <w:pPr>
              <w:pStyle w:val="null3"/>
              <w:jc w:val="both"/>
            </w:pPr>
            <w:r>
              <w:rPr>
                <w:rFonts w:ascii="仿宋_GB2312" w:hAnsi="仿宋_GB2312" w:cs="仿宋_GB2312" w:eastAsia="仿宋_GB2312"/>
                <w:sz w:val="20"/>
              </w:rPr>
              <w:t>本次项目纵向向下完成和韩城市成品油监管系统的数据互通和业务协同，向上将智慧监管平台产生的各类监管数据统一推送至省税务大数据云综合服务平台。横向对接各加油站零管系统数据，并利用</w:t>
            </w:r>
            <w:r>
              <w:rPr>
                <w:rFonts w:ascii="仿宋_GB2312" w:hAnsi="仿宋_GB2312" w:cs="仿宋_GB2312" w:eastAsia="仿宋_GB2312"/>
                <w:sz w:val="20"/>
              </w:rPr>
              <w:t>渭南市</w:t>
            </w:r>
            <w:r>
              <w:rPr>
                <w:rFonts w:ascii="仿宋_GB2312" w:hAnsi="仿宋_GB2312" w:cs="仿宋_GB2312" w:eastAsia="仿宋_GB2312"/>
                <w:sz w:val="20"/>
              </w:rPr>
              <w:t>数据共享交换平台完成和行政审批、商务、应急、交通运输等部门信息化系统的数据对接，实现数据高效流转和价值释放。详细系统对接内容见下图：</w:t>
            </w:r>
          </w:p>
          <w:p>
            <w:pPr>
              <w:pStyle w:val="null3"/>
              <w:jc w:val="center"/>
            </w:pPr>
            <w:r>
              <w:drawing>
                <wp:inline distT="0" distR="0" distB="0" distL="0">
                  <wp:extent cx="1621155" cy="772178"/>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772178"/>
                          </a:xfrm>
                          <a:prstGeom prst="rect">
                            <a:avLst/>
                          </a:prstGeom>
                        </pic:spPr>
                      </pic:pic>
                    </a:graphicData>
                  </a:graphic>
                </wp:inline>
              </w:drawing>
            </w:r>
          </w:p>
          <w:p>
            <w:pPr>
              <w:pStyle w:val="null3"/>
              <w:jc w:val="both"/>
            </w:pPr>
            <w:r>
              <w:rPr>
                <w:rFonts w:ascii="仿宋_GB2312" w:hAnsi="仿宋_GB2312" w:cs="仿宋_GB2312" w:eastAsia="仿宋_GB2312"/>
                <w:sz w:val="20"/>
              </w:rPr>
              <w:t>系统关联架构图</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b/>
              </w:rPr>
              <w:t>5.培训要求</w:t>
            </w:r>
          </w:p>
          <w:p>
            <w:pPr>
              <w:pStyle w:val="null3"/>
              <w:jc w:val="both"/>
            </w:pPr>
            <w:r>
              <w:rPr>
                <w:rFonts w:ascii="仿宋_GB2312" w:hAnsi="仿宋_GB2312" w:cs="仿宋_GB2312" w:eastAsia="仿宋_GB2312"/>
                <w:sz w:val="20"/>
              </w:rPr>
              <w:t>结合整个项目建设周期进行使用、维护、管理等不同方面，需要对不同的使用者进行系统培训。由项目组针对业务人员和技术人员的素质状况和工作需求，制定相应的培训目标、培训计划、培训内容和要求，并编制统一的培训方案和教材。</w:t>
            </w:r>
          </w:p>
          <w:p>
            <w:pPr>
              <w:pStyle w:val="null3"/>
              <w:jc w:val="both"/>
            </w:pPr>
            <w:r>
              <w:rPr>
                <w:rFonts w:ascii="仿宋_GB2312" w:hAnsi="仿宋_GB2312" w:cs="仿宋_GB2312" w:eastAsia="仿宋_GB2312"/>
                <w:sz w:val="20"/>
              </w:rPr>
              <w:t>5.1</w:t>
            </w:r>
            <w:r>
              <w:rPr>
                <w:rFonts w:ascii="仿宋_GB2312" w:hAnsi="仿宋_GB2312" w:cs="仿宋_GB2312" w:eastAsia="仿宋_GB2312"/>
                <w:sz w:val="20"/>
              </w:rPr>
              <w:t>培训对象</w:t>
            </w:r>
          </w:p>
          <w:p>
            <w:pPr>
              <w:pStyle w:val="null3"/>
              <w:jc w:val="both"/>
            </w:pPr>
            <w:r>
              <w:rPr>
                <w:rFonts w:ascii="仿宋_GB2312" w:hAnsi="仿宋_GB2312" w:cs="仿宋_GB2312" w:eastAsia="仿宋_GB2312"/>
                <w:sz w:val="20"/>
              </w:rPr>
              <w:t>培训对象为负责本项目建设、运行和维护的专业人员和各类系统使用人员，具体包括业务科室人员、相关直属单位人员和各级系统管理员等。</w:t>
            </w:r>
          </w:p>
          <w:p>
            <w:pPr>
              <w:pStyle w:val="null3"/>
              <w:jc w:val="both"/>
            </w:pPr>
            <w:r>
              <w:rPr>
                <w:rFonts w:ascii="仿宋_GB2312" w:hAnsi="仿宋_GB2312" w:cs="仿宋_GB2312" w:eastAsia="仿宋_GB2312"/>
                <w:sz w:val="20"/>
              </w:rPr>
              <w:t>5.2</w:t>
            </w:r>
            <w:r>
              <w:rPr>
                <w:rFonts w:ascii="仿宋_GB2312" w:hAnsi="仿宋_GB2312" w:cs="仿宋_GB2312" w:eastAsia="仿宋_GB2312"/>
                <w:sz w:val="20"/>
              </w:rPr>
              <w:t>培训内容</w:t>
            </w:r>
          </w:p>
          <w:p>
            <w:pPr>
              <w:pStyle w:val="null3"/>
              <w:jc w:val="both"/>
            </w:pPr>
            <w:r>
              <w:rPr>
                <w:rFonts w:ascii="仿宋_GB2312" w:hAnsi="仿宋_GB2312" w:cs="仿宋_GB2312" w:eastAsia="仿宋_GB2312"/>
                <w:sz w:val="20"/>
              </w:rPr>
              <w:t>培训内容覆盖本项目建设的各项内容，对相关工作人员开展系统使用培训，帮助工作人员快速掌握各系统尤其是应用系统的使用方法。同时针对系统维护人员，开展系统维护方面的专门培训，帮助系统运行维护人员了解设备和系统的管理维护方法，熟悉系统运维工具的使用。</w:t>
            </w:r>
          </w:p>
          <w:p>
            <w:pPr>
              <w:pStyle w:val="null3"/>
              <w:jc w:val="both"/>
            </w:pPr>
            <w:r>
              <w:rPr>
                <w:rFonts w:ascii="仿宋_GB2312" w:hAnsi="仿宋_GB2312" w:cs="仿宋_GB2312" w:eastAsia="仿宋_GB2312"/>
                <w:sz w:val="20"/>
              </w:rPr>
              <w:t>5.3</w:t>
            </w:r>
            <w:r>
              <w:rPr>
                <w:rFonts w:ascii="仿宋_GB2312" w:hAnsi="仿宋_GB2312" w:cs="仿宋_GB2312" w:eastAsia="仿宋_GB2312"/>
                <w:sz w:val="20"/>
              </w:rPr>
              <w:t>培训方式</w:t>
            </w:r>
          </w:p>
          <w:p>
            <w:pPr>
              <w:pStyle w:val="null3"/>
              <w:jc w:val="both"/>
            </w:pPr>
            <w:r>
              <w:rPr>
                <w:rFonts w:ascii="仿宋_GB2312" w:hAnsi="仿宋_GB2312" w:cs="仿宋_GB2312" w:eastAsia="仿宋_GB2312"/>
                <w:sz w:val="20"/>
              </w:rPr>
              <w:t>培训方式可采用集中授课方式进行。根据培训对象和培训计划，按照不同的课程设置，对技术人员和业务人员集中进行培训。</w:t>
            </w:r>
          </w:p>
          <w:p>
            <w:pPr>
              <w:pStyle w:val="null3"/>
              <w:jc w:val="both"/>
            </w:pPr>
            <w:r>
              <w:rPr>
                <w:rFonts w:ascii="仿宋_GB2312" w:hAnsi="仿宋_GB2312" w:cs="仿宋_GB2312" w:eastAsia="仿宋_GB2312"/>
                <w:sz w:val="20"/>
              </w:rPr>
              <w:t>5.4</w:t>
            </w:r>
            <w:r>
              <w:rPr>
                <w:rFonts w:ascii="仿宋_GB2312" w:hAnsi="仿宋_GB2312" w:cs="仿宋_GB2312" w:eastAsia="仿宋_GB2312"/>
                <w:sz w:val="20"/>
              </w:rPr>
              <w:t>培训目标</w:t>
            </w:r>
          </w:p>
          <w:p>
            <w:pPr>
              <w:pStyle w:val="null3"/>
              <w:jc w:val="both"/>
            </w:pPr>
            <w:r>
              <w:rPr>
                <w:rFonts w:ascii="仿宋_GB2312" w:hAnsi="仿宋_GB2312" w:cs="仿宋_GB2312" w:eastAsia="仿宋_GB2312"/>
                <w:sz w:val="20"/>
              </w:rPr>
              <w:t>建设一支既熟悉业务又掌握信息技术的骨干队伍，以支持数据局信息化项目的建设、运行和维护。培训软件使用人员，使其能够熟悉系统业务功能，顺利利用系统开展业务。其中，包括应用管理员和普通管理员两类。</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b/>
              </w:rPr>
              <w:t>6.项目运维</w:t>
            </w:r>
          </w:p>
          <w:p>
            <w:pPr>
              <w:pStyle w:val="null3"/>
              <w:jc w:val="both"/>
            </w:pPr>
            <w:r>
              <w:rPr>
                <w:rFonts w:ascii="仿宋_GB2312" w:hAnsi="仿宋_GB2312" w:cs="仿宋_GB2312" w:eastAsia="仿宋_GB2312"/>
                <w:sz w:val="20"/>
              </w:rPr>
              <w:t>项目全部</w:t>
            </w:r>
            <w:r>
              <w:rPr>
                <w:rFonts w:ascii="仿宋_GB2312" w:hAnsi="仿宋_GB2312" w:cs="仿宋_GB2312" w:eastAsia="仿宋_GB2312"/>
                <w:sz w:val="20"/>
              </w:rPr>
              <w:t>建成</w:t>
            </w:r>
            <w:r>
              <w:rPr>
                <w:rFonts w:ascii="仿宋_GB2312" w:hAnsi="仿宋_GB2312" w:cs="仿宋_GB2312" w:eastAsia="仿宋_GB2312"/>
                <w:sz w:val="20"/>
              </w:rPr>
              <w:t>验收合格</w:t>
            </w:r>
            <w:r>
              <w:rPr>
                <w:rFonts w:ascii="仿宋_GB2312" w:hAnsi="仿宋_GB2312" w:cs="仿宋_GB2312" w:eastAsia="仿宋_GB2312"/>
                <w:sz w:val="20"/>
              </w:rPr>
              <w:t>后由</w:t>
            </w:r>
            <w:r>
              <w:rPr>
                <w:rFonts w:ascii="仿宋_GB2312" w:hAnsi="仿宋_GB2312" w:cs="仿宋_GB2312" w:eastAsia="仿宋_GB2312"/>
                <w:sz w:val="20"/>
              </w:rPr>
              <w:t>中标供应商</w:t>
            </w:r>
            <w:r>
              <w:rPr>
                <w:rFonts w:ascii="仿宋_GB2312" w:hAnsi="仿宋_GB2312" w:cs="仿宋_GB2312" w:eastAsia="仿宋_GB2312"/>
                <w:sz w:val="20"/>
              </w:rPr>
              <w:t>提供前后端软硬件设备和系统运维3年。</w:t>
            </w:r>
          </w:p>
          <w:p>
            <w:pPr>
              <w:pStyle w:val="null3"/>
              <w:jc w:val="both"/>
            </w:pPr>
            <w:r>
              <w:rPr>
                <w:rFonts w:ascii="仿宋_GB2312" w:hAnsi="仿宋_GB2312" w:cs="仿宋_GB2312" w:eastAsia="仿宋_GB2312"/>
                <w:sz w:val="20"/>
              </w:rPr>
              <w:t>6.1</w:t>
            </w:r>
            <w:r>
              <w:rPr>
                <w:rFonts w:ascii="仿宋_GB2312" w:hAnsi="仿宋_GB2312" w:cs="仿宋_GB2312" w:eastAsia="仿宋_GB2312"/>
                <w:sz w:val="20"/>
              </w:rPr>
              <w:t>运行管理</w:t>
            </w:r>
          </w:p>
          <w:p>
            <w:pPr>
              <w:pStyle w:val="null3"/>
              <w:jc w:val="both"/>
            </w:pPr>
            <w:r>
              <w:rPr>
                <w:rFonts w:ascii="仿宋_GB2312" w:hAnsi="仿宋_GB2312" w:cs="仿宋_GB2312" w:eastAsia="仿宋_GB2312"/>
                <w:sz w:val="20"/>
              </w:rPr>
              <w:t>提供5*8小时远程日常维护工作服务。</w:t>
            </w:r>
          </w:p>
          <w:p>
            <w:pPr>
              <w:pStyle w:val="null3"/>
              <w:jc w:val="both"/>
            </w:pPr>
            <w:r>
              <w:rPr>
                <w:rFonts w:ascii="仿宋_GB2312" w:hAnsi="仿宋_GB2312" w:cs="仿宋_GB2312" w:eastAsia="仿宋_GB2312"/>
                <w:sz w:val="20"/>
              </w:rPr>
              <w:t>平台运行监控：对整个平台的资源使用情况、资源健康情况、运行情况等进行7*24小时实时监控。</w:t>
            </w:r>
          </w:p>
          <w:p>
            <w:pPr>
              <w:pStyle w:val="null3"/>
              <w:jc w:val="both"/>
            </w:pPr>
            <w:r>
              <w:rPr>
                <w:rFonts w:ascii="仿宋_GB2312" w:hAnsi="仿宋_GB2312" w:cs="仿宋_GB2312" w:eastAsia="仿宋_GB2312"/>
                <w:sz w:val="20"/>
              </w:rPr>
              <w:t>网络监控：对网络服务环境中的网络运行情况进行监控，按需进行网络配置调整、网络优化。</w:t>
            </w:r>
          </w:p>
          <w:p>
            <w:pPr>
              <w:pStyle w:val="null3"/>
              <w:jc w:val="both"/>
            </w:pPr>
            <w:r>
              <w:rPr>
                <w:rFonts w:ascii="仿宋_GB2312" w:hAnsi="仿宋_GB2312" w:cs="仿宋_GB2312" w:eastAsia="仿宋_GB2312"/>
                <w:sz w:val="20"/>
              </w:rPr>
              <w:t>软硬件运行监控：对各类软硬件设备的运行情况进行监控，按需进行设备配置优化、软件升级。</w:t>
            </w:r>
          </w:p>
          <w:p>
            <w:pPr>
              <w:pStyle w:val="null3"/>
              <w:jc w:val="both"/>
            </w:pPr>
            <w:r>
              <w:rPr>
                <w:rFonts w:ascii="仿宋_GB2312" w:hAnsi="仿宋_GB2312" w:cs="仿宋_GB2312" w:eastAsia="仿宋_GB2312"/>
                <w:sz w:val="20"/>
              </w:rPr>
              <w:t>6.2</w:t>
            </w:r>
            <w:r>
              <w:rPr>
                <w:rFonts w:ascii="仿宋_GB2312" w:hAnsi="仿宋_GB2312" w:cs="仿宋_GB2312" w:eastAsia="仿宋_GB2312"/>
                <w:sz w:val="20"/>
              </w:rPr>
              <w:t>故障处理</w:t>
            </w:r>
          </w:p>
          <w:p>
            <w:pPr>
              <w:pStyle w:val="null3"/>
              <w:jc w:val="both"/>
            </w:pPr>
            <w:r>
              <w:rPr>
                <w:rFonts w:ascii="仿宋_GB2312" w:hAnsi="仿宋_GB2312" w:cs="仿宋_GB2312" w:eastAsia="仿宋_GB2312"/>
                <w:sz w:val="20"/>
              </w:rPr>
              <w:t>对运行的业务系统出现的故障，提供7*24h的技术响应，配合单位及时排除故障。当系统出现紧急故障时，需保证30分钟内响应，2小时内恢复、解决问题。</w:t>
            </w:r>
          </w:p>
          <w:p>
            <w:pPr>
              <w:pStyle w:val="null3"/>
              <w:jc w:val="both"/>
            </w:pPr>
            <w:r>
              <w:rPr>
                <w:rFonts w:ascii="仿宋_GB2312" w:hAnsi="仿宋_GB2312" w:cs="仿宋_GB2312" w:eastAsia="仿宋_GB2312"/>
                <w:sz w:val="20"/>
              </w:rPr>
              <w:t>6.3</w:t>
            </w:r>
            <w:r>
              <w:rPr>
                <w:rFonts w:ascii="仿宋_GB2312" w:hAnsi="仿宋_GB2312" w:cs="仿宋_GB2312" w:eastAsia="仿宋_GB2312"/>
                <w:sz w:val="20"/>
              </w:rPr>
              <w:t>数据备份</w:t>
            </w:r>
          </w:p>
          <w:p>
            <w:pPr>
              <w:pStyle w:val="null3"/>
              <w:jc w:val="both"/>
            </w:pPr>
            <w:r>
              <w:rPr>
                <w:rFonts w:ascii="仿宋_GB2312" w:hAnsi="仿宋_GB2312" w:cs="仿宋_GB2312" w:eastAsia="仿宋_GB2312"/>
                <w:sz w:val="20"/>
              </w:rPr>
              <w:t>按照建设方提出的数据备份需求，定制数据备份策略。定期对数据备份的情况进行确认。定期对备份数据进行恢复性测试。</w:t>
            </w:r>
          </w:p>
          <w:p>
            <w:pPr>
              <w:pStyle w:val="null3"/>
              <w:jc w:val="both"/>
            </w:pPr>
            <w:r>
              <w:rPr>
                <w:rFonts w:ascii="仿宋_GB2312" w:hAnsi="仿宋_GB2312" w:cs="仿宋_GB2312" w:eastAsia="仿宋_GB2312"/>
                <w:sz w:val="20"/>
              </w:rPr>
              <w:t>6.4</w:t>
            </w:r>
            <w:r>
              <w:rPr>
                <w:rFonts w:ascii="仿宋_GB2312" w:hAnsi="仿宋_GB2312" w:cs="仿宋_GB2312" w:eastAsia="仿宋_GB2312"/>
                <w:sz w:val="20"/>
              </w:rPr>
              <w:t>运维服务报告</w:t>
            </w:r>
          </w:p>
          <w:p>
            <w:pPr>
              <w:pStyle w:val="null3"/>
              <w:jc w:val="both"/>
            </w:pPr>
            <w:r>
              <w:rPr>
                <w:rFonts w:ascii="仿宋_GB2312" w:hAnsi="仿宋_GB2312" w:cs="仿宋_GB2312" w:eastAsia="仿宋_GB2312"/>
                <w:sz w:val="20"/>
              </w:rPr>
              <w:t>根据平台的整体运行，提供平台服务报告。内容包括但不限于平台运行情况、服务情况、资源利用效率故障处理、用户技术支持以及数据分析等。</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rPr>
              <w:t>7其他要求</w:t>
            </w:r>
          </w:p>
          <w:p>
            <w:pPr>
              <w:pStyle w:val="null3"/>
              <w:jc w:val="both"/>
            </w:pPr>
            <w:r>
              <w:rPr>
                <w:rFonts w:ascii="仿宋_GB2312" w:hAnsi="仿宋_GB2312" w:cs="仿宋_GB2312" w:eastAsia="仿宋_GB2312"/>
                <w:sz w:val="20"/>
              </w:rPr>
              <w:t>渭南市成品油综合服务智慧监管平台建设采用国产环境下的服务器、存储、网络、操作系统、数据库、安全系统进行系统建设，并兼容国产化软硬件厂商产品。</w:t>
            </w:r>
          </w:p>
          <w:p>
            <w:pPr>
              <w:pStyle w:val="null3"/>
              <w:jc w:val="both"/>
            </w:pPr>
            <w:r>
              <w:rPr>
                <w:rFonts w:ascii="仿宋_GB2312" w:hAnsi="仿宋_GB2312" w:cs="仿宋_GB2312" w:eastAsia="仿宋_GB2312"/>
                <w:sz w:val="20"/>
                <w:b/>
              </w:rPr>
              <w:t>7.1</w:t>
            </w:r>
            <w:r>
              <w:rPr>
                <w:rFonts w:ascii="仿宋_GB2312" w:hAnsi="仿宋_GB2312" w:cs="仿宋_GB2312" w:eastAsia="仿宋_GB2312"/>
                <w:sz w:val="20"/>
                <w:b/>
              </w:rPr>
              <w:t>硬件</w:t>
            </w:r>
          </w:p>
          <w:p>
            <w:pPr>
              <w:pStyle w:val="null3"/>
              <w:jc w:val="both"/>
            </w:pPr>
            <w:r>
              <w:rPr>
                <w:rFonts w:ascii="仿宋_GB2312" w:hAnsi="仿宋_GB2312" w:cs="仿宋_GB2312" w:eastAsia="仿宋_GB2312"/>
                <w:sz w:val="20"/>
              </w:rPr>
              <w:t>渭南市成品油综合服务智慧监管平台所涉及的计算、存储、网络、安全等硬件设备均依托于市级政务云。前端物联感知设备选择国产化的监控、传感器等设备。确保本项目所选产品均为全国产化设备。</w:t>
            </w:r>
          </w:p>
          <w:p>
            <w:pPr>
              <w:pStyle w:val="null3"/>
              <w:jc w:val="both"/>
            </w:pPr>
            <w:r>
              <w:rPr>
                <w:rFonts w:ascii="仿宋_GB2312" w:hAnsi="仿宋_GB2312" w:cs="仿宋_GB2312" w:eastAsia="仿宋_GB2312"/>
                <w:sz w:val="20"/>
                <w:b/>
              </w:rPr>
              <w:t>7.2</w:t>
            </w:r>
            <w:r>
              <w:rPr>
                <w:rFonts w:ascii="仿宋_GB2312" w:hAnsi="仿宋_GB2312" w:cs="仿宋_GB2312" w:eastAsia="仿宋_GB2312"/>
                <w:sz w:val="20"/>
                <w:b/>
              </w:rPr>
              <w:t>软件</w:t>
            </w:r>
          </w:p>
          <w:p>
            <w:pPr>
              <w:pStyle w:val="null3"/>
              <w:jc w:val="both"/>
            </w:pPr>
            <w:r>
              <w:rPr>
                <w:rFonts w:ascii="仿宋_GB2312" w:hAnsi="仿宋_GB2312" w:cs="仿宋_GB2312" w:eastAsia="仿宋_GB2312"/>
                <w:sz w:val="20"/>
              </w:rPr>
              <w:t>本项目所涉及的购置类软件应采用国产化安全可靠产品。</w:t>
            </w:r>
          </w:p>
          <w:p>
            <w:pPr>
              <w:pStyle w:val="null3"/>
              <w:jc w:val="both"/>
            </w:pPr>
            <w:r>
              <w:rPr>
                <w:rFonts w:ascii="仿宋_GB2312" w:hAnsi="仿宋_GB2312" w:cs="仿宋_GB2312" w:eastAsia="仿宋_GB2312"/>
                <w:sz w:val="20"/>
              </w:rPr>
              <w:t>兼容性：项目购置类软件应兼容的国产化客户端、国产化计算、存储、网络等硬件设备的</w:t>
            </w:r>
            <w:r>
              <w:rPr>
                <w:rFonts w:ascii="仿宋_GB2312" w:hAnsi="仿宋_GB2312" w:cs="仿宋_GB2312" w:eastAsia="仿宋_GB2312"/>
                <w:sz w:val="20"/>
              </w:rPr>
              <w:t>信创</w:t>
            </w:r>
            <w:r>
              <w:rPr>
                <w:rFonts w:ascii="仿宋_GB2312" w:hAnsi="仿宋_GB2312" w:cs="仿宋_GB2312" w:eastAsia="仿宋_GB2312"/>
                <w:sz w:val="20"/>
              </w:rPr>
              <w:t>环境，不能出现数据丢失和各类功能问题。</w:t>
            </w:r>
          </w:p>
          <w:p>
            <w:pPr>
              <w:pStyle w:val="null3"/>
              <w:jc w:val="both"/>
            </w:pPr>
            <w:r>
              <w:rPr>
                <w:rFonts w:ascii="仿宋_GB2312" w:hAnsi="仿宋_GB2312" w:cs="仿宋_GB2312" w:eastAsia="仿宋_GB2312"/>
                <w:sz w:val="20"/>
              </w:rPr>
              <w:t>性能问题：项目购置类软件应保证在信创环境下的性能指标，不能因为换用</w:t>
            </w:r>
            <w:r>
              <w:rPr>
                <w:rFonts w:ascii="仿宋_GB2312" w:hAnsi="仿宋_GB2312" w:cs="仿宋_GB2312" w:eastAsia="仿宋_GB2312"/>
                <w:sz w:val="20"/>
              </w:rPr>
              <w:t>信创</w:t>
            </w:r>
            <w:r>
              <w:rPr>
                <w:rFonts w:ascii="仿宋_GB2312" w:hAnsi="仿宋_GB2312" w:cs="仿宋_GB2312" w:eastAsia="仿宋_GB2312"/>
                <w:sz w:val="20"/>
              </w:rPr>
              <w:t>终端环境后性能出现大幅下降，使用的体验差很多，让用户丧失使用本系统的耐心和兴趣。</w:t>
            </w:r>
          </w:p>
          <w:p>
            <w:pPr>
              <w:pStyle w:val="null3"/>
              <w:jc w:val="both"/>
            </w:pPr>
            <w:r>
              <w:rPr>
                <w:rFonts w:ascii="仿宋_GB2312" w:hAnsi="仿宋_GB2312" w:cs="仿宋_GB2312" w:eastAsia="仿宋_GB2312"/>
                <w:sz w:val="20"/>
              </w:rPr>
              <w:t>本项目信息系统的开发全部采用国产化安全可控设备，平台需与底层硬件、操作系统、数据库、中间件完成相关适配，加强信息安全管控。</w:t>
            </w:r>
          </w:p>
          <w:p>
            <w:pPr>
              <w:pStyle w:val="null3"/>
              <w:jc w:val="both"/>
            </w:pPr>
            <w:r>
              <w:rPr>
                <w:rFonts w:ascii="仿宋_GB2312" w:hAnsi="仿宋_GB2312" w:cs="仿宋_GB2312" w:eastAsia="仿宋_GB2312"/>
                <w:sz w:val="20"/>
                <w:b/>
              </w:rPr>
              <w:t>7.3</w:t>
            </w:r>
            <w:r>
              <w:rPr>
                <w:rFonts w:ascii="仿宋_GB2312" w:hAnsi="仿宋_GB2312" w:cs="仿宋_GB2312" w:eastAsia="仿宋_GB2312"/>
                <w:sz w:val="20"/>
                <w:b/>
              </w:rPr>
              <w:t>开发类软件</w:t>
            </w:r>
          </w:p>
          <w:p>
            <w:pPr>
              <w:pStyle w:val="null3"/>
              <w:jc w:val="both"/>
            </w:pPr>
            <w:r>
              <w:rPr>
                <w:rFonts w:ascii="仿宋_GB2312" w:hAnsi="仿宋_GB2312" w:cs="仿宋_GB2312" w:eastAsia="仿宋_GB2312"/>
                <w:sz w:val="20"/>
              </w:rPr>
              <w:t>根据政务信息系统国产化适配中的经验，基于本项目的需求和目标，本项目所开发应用软件应满足信创要求，详细要求如下：</w:t>
            </w:r>
          </w:p>
          <w:p>
            <w:pPr>
              <w:pStyle w:val="null3"/>
              <w:jc w:val="both"/>
            </w:pPr>
            <w:r>
              <w:rPr>
                <w:rFonts w:ascii="仿宋_GB2312" w:hAnsi="仿宋_GB2312" w:cs="仿宋_GB2312" w:eastAsia="仿宋_GB2312"/>
                <w:sz w:val="20"/>
              </w:rPr>
              <w:t>应用兼容性：需要基于国产化客户端、国产化硬件、国产化数据库、国产化中间件</w:t>
            </w:r>
            <w:r>
              <w:rPr>
                <w:rFonts w:ascii="仿宋_GB2312" w:hAnsi="仿宋_GB2312" w:cs="仿宋_GB2312" w:eastAsia="仿宋_GB2312"/>
                <w:sz w:val="20"/>
              </w:rPr>
              <w:t>信创</w:t>
            </w:r>
          </w:p>
          <w:p>
            <w:pPr>
              <w:pStyle w:val="null3"/>
              <w:jc w:val="both"/>
            </w:pPr>
            <w:r>
              <w:rPr>
                <w:rFonts w:ascii="仿宋_GB2312" w:hAnsi="仿宋_GB2312" w:cs="仿宋_GB2312" w:eastAsia="仿宋_GB2312"/>
                <w:sz w:val="20"/>
              </w:rPr>
              <w:t>环境，将应用系统改造开发，经过适配后需能正常用信创客户端访问各系统，不能出现数据丢失和各类功能问题。</w:t>
            </w:r>
          </w:p>
          <w:p>
            <w:pPr>
              <w:pStyle w:val="null3"/>
              <w:jc w:val="both"/>
            </w:pPr>
            <w:r>
              <w:rPr>
                <w:rFonts w:ascii="仿宋_GB2312" w:hAnsi="仿宋_GB2312" w:cs="仿宋_GB2312" w:eastAsia="仿宋_GB2312"/>
                <w:sz w:val="20"/>
              </w:rPr>
              <w:t>性能问题：在信创环境下，系统要保证正常的性能，不能因为换用</w:t>
            </w:r>
            <w:r>
              <w:rPr>
                <w:rFonts w:ascii="仿宋_GB2312" w:hAnsi="仿宋_GB2312" w:cs="仿宋_GB2312" w:eastAsia="仿宋_GB2312"/>
                <w:sz w:val="20"/>
              </w:rPr>
              <w:t>信创</w:t>
            </w:r>
          </w:p>
          <w:p>
            <w:pPr>
              <w:pStyle w:val="null3"/>
              <w:jc w:val="both"/>
            </w:pPr>
            <w:r>
              <w:rPr>
                <w:rFonts w:ascii="仿宋_GB2312" w:hAnsi="仿宋_GB2312" w:cs="仿宋_GB2312" w:eastAsia="仿宋_GB2312"/>
                <w:sz w:val="20"/>
              </w:rPr>
              <w:t>终端环境后性能出现大幅下降，使用的体验差很多，让用户丧失使用本系统的耐心和兴趣。</w:t>
            </w:r>
          </w:p>
          <w:p>
            <w:pPr>
              <w:pStyle w:val="null3"/>
              <w:jc w:val="both"/>
            </w:pPr>
            <w:r>
              <w:rPr>
                <w:rFonts w:ascii="仿宋_GB2312" w:hAnsi="仿宋_GB2312" w:cs="仿宋_GB2312" w:eastAsia="仿宋_GB2312"/>
                <w:sz w:val="20"/>
              </w:rPr>
              <w:t>业务流畅性：在信创环境下，需要保证现有系统的业务流畅性：既要保证原有业务流程顺利流转和开展，也要保证各业务节点的丰富功能都能够正常使用。</w:t>
            </w:r>
          </w:p>
          <w:p>
            <w:pPr>
              <w:pStyle w:val="null3"/>
              <w:jc w:val="both"/>
            </w:pPr>
            <w:r>
              <w:rPr>
                <w:rFonts w:ascii="仿宋_GB2312" w:hAnsi="仿宋_GB2312" w:cs="仿宋_GB2312" w:eastAsia="仿宋_GB2312"/>
                <w:sz w:val="20"/>
              </w:rPr>
              <w:t>接口问题：本系统与其他系统的各种接口需要重新适配，保证接口的有效性。</w:t>
            </w:r>
          </w:p>
          <w:p>
            <w:pPr>
              <w:pStyle w:val="null3"/>
              <w:jc w:val="both"/>
            </w:pPr>
            <w:r>
              <w:rPr>
                <w:rFonts w:ascii="仿宋_GB2312" w:hAnsi="仿宋_GB2312" w:cs="仿宋_GB2312" w:eastAsia="仿宋_GB2312"/>
                <w:sz w:val="20"/>
              </w:rPr>
              <w:t>开发环境：系统开发应基于可移植的平台开发。</w:t>
            </w:r>
          </w:p>
          <w:p>
            <w:pPr>
              <w:pStyle w:val="null3"/>
              <w:jc w:val="both"/>
            </w:pPr>
            <w:r>
              <w:rPr>
                <w:rFonts w:ascii="仿宋_GB2312" w:hAnsi="仿宋_GB2312" w:cs="仿宋_GB2312" w:eastAsia="仿宋_GB2312"/>
                <w:sz w:val="20"/>
              </w:rPr>
              <w:t>7.4承建单位在本项目中主要承担的工作包括：</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制订项目实施的详细设计和质量保证计划，经</w:t>
            </w:r>
            <w:r>
              <w:rPr>
                <w:rFonts w:ascii="仿宋_GB2312" w:hAnsi="仿宋_GB2312" w:cs="仿宋_GB2312" w:eastAsia="仿宋_GB2312"/>
                <w:sz w:val="20"/>
              </w:rPr>
              <w:t>采购人</w:t>
            </w:r>
            <w:r>
              <w:rPr>
                <w:rFonts w:ascii="仿宋_GB2312" w:hAnsi="仿宋_GB2312" w:cs="仿宋_GB2312" w:eastAsia="仿宋_GB2312"/>
                <w:sz w:val="20"/>
              </w:rPr>
              <w:t>和监理单位审定后组织实施。</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项目实施期间，认真组织好人力、物力等资源的投入，并向监理单位提供月、周进度报告及相应进度统计报表。</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按合同要求在工程进度、成本、质量方面进行过程控制，发现不合格项及时纠正。</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在项目实施过程中按规定程序及时、主动、自觉接受监理单位的监督检查；提供</w:t>
            </w:r>
            <w:r>
              <w:rPr>
                <w:rFonts w:ascii="仿宋_GB2312" w:hAnsi="仿宋_GB2312" w:cs="仿宋_GB2312" w:eastAsia="仿宋_GB2312"/>
                <w:sz w:val="20"/>
              </w:rPr>
              <w:t>采购人</w:t>
            </w:r>
            <w:r>
              <w:rPr>
                <w:rFonts w:ascii="仿宋_GB2312" w:hAnsi="仿宋_GB2312" w:cs="仿宋_GB2312" w:eastAsia="仿宋_GB2312"/>
                <w:sz w:val="20"/>
              </w:rPr>
              <w:t>单位和监理单位需要的各种统计数据的报表。</w:t>
            </w:r>
          </w:p>
          <w:p>
            <w:pPr>
              <w:pStyle w:val="null3"/>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项目实施完成后，及时向</w:t>
            </w:r>
            <w:r>
              <w:rPr>
                <w:rFonts w:ascii="仿宋_GB2312" w:hAnsi="仿宋_GB2312" w:cs="仿宋_GB2312" w:eastAsia="仿宋_GB2312"/>
                <w:sz w:val="20"/>
              </w:rPr>
              <w:t>采购人</w:t>
            </w:r>
            <w:r>
              <w:rPr>
                <w:rFonts w:ascii="仿宋_GB2312" w:hAnsi="仿宋_GB2312" w:cs="仿宋_GB2312" w:eastAsia="仿宋_GB2312"/>
                <w:sz w:val="20"/>
              </w:rPr>
              <w:t>提交项目测试申请报告，对测试中发现的问题及时进行改进。</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负责已完工程的保护工作,保存好完整的项目资料档案，以便后期移交</w:t>
            </w:r>
            <w:r>
              <w:rPr>
                <w:rFonts w:ascii="仿宋_GB2312" w:hAnsi="仿宋_GB2312" w:cs="仿宋_GB2312" w:eastAsia="仿宋_GB2312"/>
                <w:sz w:val="20"/>
              </w:rPr>
              <w:t>采购人</w:t>
            </w:r>
            <w:r>
              <w:rPr>
                <w:rFonts w:ascii="仿宋_GB2312" w:hAnsi="仿宋_GB2312" w:cs="仿宋_GB2312" w:eastAsia="仿宋_GB2312"/>
                <w:sz w:val="20"/>
              </w:rPr>
              <w:t>单位。</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0"/>
                <w:b/>
              </w:rPr>
              <w:t>8.视觉行为采集和分析服务</w:t>
            </w:r>
            <w:r>
              <w:rPr>
                <w:rFonts w:ascii="仿宋_GB2312" w:hAnsi="仿宋_GB2312" w:cs="仿宋_GB2312" w:eastAsia="仿宋_GB2312"/>
                <w:sz w:val="20"/>
                <w:b/>
              </w:rPr>
              <w:t>（</w:t>
            </w:r>
            <w:r>
              <w:rPr>
                <w:rFonts w:ascii="仿宋_GB2312" w:hAnsi="仿宋_GB2312" w:cs="仿宋_GB2312" w:eastAsia="仿宋_GB2312"/>
                <w:sz w:val="20"/>
                <w:b/>
              </w:rPr>
              <w:t>507项</w:t>
            </w:r>
            <w:r>
              <w:rPr>
                <w:rFonts w:ascii="仿宋_GB2312" w:hAnsi="仿宋_GB2312" w:cs="仿宋_GB2312" w:eastAsia="仿宋_GB2312"/>
                <w:sz w:val="20"/>
                <w:b/>
              </w:rPr>
              <w:t>）：</w:t>
            </w:r>
          </w:p>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此次针对卸油区增加视频采集点位，为满足现场使用环境，提供服务的视频设备传感器尺寸≥1/1.8英寸，照度适应范围≥140dB，传回最大图像尺寸不低于2560× 1440</w:t>
            </w:r>
          </w:p>
          <w:p>
            <w:pPr>
              <w:pStyle w:val="null3"/>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为满足不同加油站视场角，视频采集服务提供≥4倍光学变焦，且焦距范围满足卸油区常见监控场景需求(3-11mm)。</w:t>
            </w:r>
          </w:p>
          <w:p>
            <w:pPr>
              <w:pStyle w:val="null3"/>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为保障夜间采集传回画面的清晰，设备内置补光灯，补光灯珠≥4颗，夜间应能看清60米处的人体轮廓。</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为满足多个字段的叠加功能，通道名称、日期、时间格式等均可自定义</w:t>
            </w:r>
          </w:p>
          <w:p>
            <w:pPr>
              <w:pStyle w:val="null3"/>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为保障服务在加油站卸油区正常使用，减少安全隐患发生设备工作温度范围能适应所在地区常见的环境温度，防护等级≥IP68，IK10。</w:t>
            </w:r>
          </w:p>
          <w:p>
            <w:pPr>
              <w:pStyle w:val="null3"/>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为保障视觉行为采集服务的持续运行，加油站卸油区内使用的视频采集设备须具备由国家防爆产品质量检验检测中心颁发的防爆合格证，CCC证书。</w:t>
            </w:r>
          </w:p>
          <w:p>
            <w:pPr>
              <w:pStyle w:val="null3"/>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.卸油区视频采集服务应具备国产智能芯片，支持车牌以及人脸识别</w:t>
            </w:r>
          </w:p>
          <w:p>
            <w:pPr>
              <w:pStyle w:val="null3"/>
            </w:pPr>
            <w:r>
              <w:rPr>
                <w:rFonts w:ascii="仿宋_GB2312" w:hAnsi="仿宋_GB2312" w:cs="仿宋_GB2312" w:eastAsia="仿宋_GB2312"/>
                <w:sz w:val="20"/>
              </w:rPr>
              <w:t>8.</w:t>
            </w:r>
            <w:r>
              <w:rPr>
                <w:rFonts w:ascii="仿宋_GB2312" w:hAnsi="仿宋_GB2312" w:cs="仿宋_GB2312" w:eastAsia="仿宋_GB2312"/>
                <w:sz w:val="20"/>
              </w:rPr>
              <w:t>分析服务提供不少于4TB的存储容量</w:t>
            </w:r>
          </w:p>
          <w:p>
            <w:pPr>
              <w:pStyle w:val="null3"/>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为保障加油站内视频均可接入，需满足≥32路1920x1080分辨率的摄像头同时接入，内置≥3颗GPU芯片，可满足≥12路视频实时分析需求</w:t>
            </w:r>
          </w:p>
          <w:p>
            <w:pPr>
              <w:pStyle w:val="null3"/>
            </w:pPr>
            <w:r>
              <w:rPr>
                <w:rFonts w:ascii="仿宋_GB2312" w:hAnsi="仿宋_GB2312" w:cs="仿宋_GB2312" w:eastAsia="仿宋_GB2312"/>
                <w:sz w:val="20"/>
              </w:rPr>
              <w:t>10.</w:t>
            </w:r>
            <w:r>
              <w:rPr>
                <w:rFonts w:ascii="仿宋_GB2312" w:hAnsi="仿宋_GB2312" w:cs="仿宋_GB2312" w:eastAsia="仿宋_GB2312"/>
                <w:sz w:val="20"/>
              </w:rPr>
              <w:t>加油站网络环境不稳定，分析服务需具备断网续传功能，保障告警事件数据在断网恢复后可继续传输。</w:t>
            </w:r>
          </w:p>
          <w:p>
            <w:pPr>
              <w:pStyle w:val="null3"/>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为保障分析服务中产生数据的安全性，支持存储数据保护功能，当前设备硬盘无法直接在第三方服务器或PC机上读取硬盘数据。</w:t>
            </w:r>
          </w:p>
          <w:p>
            <w:pPr>
              <w:pStyle w:val="null3"/>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为满足后续服务拓展，分析服务支持常见的AI检测规则和参数设置，满足基本的目标检测、统计等需求</w:t>
            </w:r>
          </w:p>
          <w:p>
            <w:pPr>
              <w:pStyle w:val="null3"/>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分析服务支持对加油站加油区里的烟雾，火焰，抽烟，打电话等进行算法分析，支持对卸油区内油罐车到位，稳油时间识别，卸油过程中双人在场，是否佩戴工服，卸油罐识别，灭火器等算法进行分析。</w:t>
            </w:r>
          </w:p>
          <w:p>
            <w:pPr>
              <w:pStyle w:val="null3"/>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为保障分析服务在加油站内数据传输的安全性，支持Loar模块拓展，可通过Loar协议接收数据上报平台。</w:t>
            </w:r>
          </w:p>
          <w:p>
            <w:pPr>
              <w:pStyle w:val="null3"/>
              <w:jc w:val="both"/>
            </w:pPr>
            <w:r>
              <w:rPr>
                <w:rFonts w:ascii="仿宋_GB2312" w:hAnsi="仿宋_GB2312" w:cs="仿宋_GB2312" w:eastAsia="仿宋_GB2312"/>
                <w:sz w:val="20"/>
              </w:rPr>
              <w:t>（每座加油站1</w:t>
            </w:r>
            <w:r>
              <w:rPr>
                <w:rFonts w:ascii="仿宋_GB2312" w:hAnsi="仿宋_GB2312" w:cs="仿宋_GB2312" w:eastAsia="仿宋_GB2312"/>
                <w:sz w:val="20"/>
              </w:rPr>
              <w:t>套</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0"/>
                <w:b/>
              </w:rPr>
              <w:t>9.液位仪信息采集</w:t>
            </w:r>
            <w:r>
              <w:rPr>
                <w:rFonts w:ascii="仿宋_GB2312" w:hAnsi="仿宋_GB2312" w:cs="仿宋_GB2312" w:eastAsia="仿宋_GB2312"/>
                <w:sz w:val="20"/>
                <w:b/>
              </w:rPr>
              <w:t>（</w:t>
            </w:r>
            <w:r>
              <w:rPr>
                <w:rFonts w:ascii="仿宋_GB2312" w:hAnsi="仿宋_GB2312" w:cs="仿宋_GB2312" w:eastAsia="仿宋_GB2312"/>
                <w:sz w:val="20"/>
                <w:b/>
              </w:rPr>
              <w:t>507项</w:t>
            </w:r>
            <w:r>
              <w:rPr>
                <w:rFonts w:ascii="仿宋_GB2312" w:hAnsi="仿宋_GB2312" w:cs="仿宋_GB2312" w:eastAsia="仿宋_GB2312"/>
                <w:sz w:val="20"/>
                <w:b/>
              </w:rPr>
              <w:t>）：</w:t>
            </w:r>
          </w:p>
          <w:p>
            <w:pPr>
              <w:pStyle w:val="null3"/>
            </w:pPr>
            <w:r>
              <w:rPr>
                <w:rFonts w:ascii="仿宋_GB2312" w:hAnsi="仿宋_GB2312" w:cs="仿宋_GB2312" w:eastAsia="仿宋_GB2312"/>
                <w:sz w:val="20"/>
              </w:rPr>
              <w:t>（一）通信接口</w:t>
            </w:r>
          </w:p>
          <w:p>
            <w:pPr>
              <w:pStyle w:val="null3"/>
            </w:pPr>
            <w:r>
              <w:rPr>
                <w:rFonts w:ascii="仿宋_GB2312" w:hAnsi="仿宋_GB2312" w:cs="仿宋_GB2312" w:eastAsia="仿宋_GB2312"/>
                <w:sz w:val="20"/>
              </w:rPr>
              <w:t>1.接口：三线 RS232 串口，支持常用波特率,RS485 接口。</w:t>
            </w:r>
          </w:p>
          <w:p>
            <w:pPr>
              <w:pStyle w:val="null3"/>
            </w:pPr>
            <w:r>
              <w:rPr>
                <w:rFonts w:ascii="仿宋_GB2312" w:hAnsi="仿宋_GB2312" w:cs="仿宋_GB2312" w:eastAsia="仿宋_GB2312"/>
                <w:sz w:val="20"/>
              </w:rPr>
              <w:t>2.可进行本地或远程的数据交换或功能设定，通讯协议系统兼容，升级不影响数据上传。</w:t>
            </w:r>
          </w:p>
          <w:p>
            <w:pPr>
              <w:pStyle w:val="null3"/>
            </w:pPr>
            <w:r>
              <w:rPr>
                <w:rFonts w:ascii="仿宋_GB2312" w:hAnsi="仿宋_GB2312" w:cs="仿宋_GB2312" w:eastAsia="仿宋_GB2312"/>
                <w:sz w:val="20"/>
              </w:rPr>
              <w:t>（二）数据采集</w:t>
            </w:r>
          </w:p>
          <w:p>
            <w:pPr>
              <w:pStyle w:val="null3"/>
            </w:pPr>
            <w:r>
              <w:rPr>
                <w:rFonts w:ascii="仿宋_GB2312" w:hAnsi="仿宋_GB2312" w:cs="仿宋_GB2312" w:eastAsia="仿宋_GB2312"/>
                <w:sz w:val="20"/>
              </w:rPr>
              <w:t>1.自动在线跟踪油罐库存体积、油品高度、温度等信息。</w:t>
            </w:r>
          </w:p>
          <w:p>
            <w:pPr>
              <w:pStyle w:val="null3"/>
            </w:pPr>
            <w:r>
              <w:rPr>
                <w:rFonts w:ascii="仿宋_GB2312" w:hAnsi="仿宋_GB2312" w:cs="仿宋_GB2312" w:eastAsia="仿宋_GB2312"/>
                <w:sz w:val="20"/>
              </w:rPr>
              <w:t>2.实时采集每个加油站的油罐进油明细，包括日期、油罐、罐号、油品信息。</w:t>
            </w:r>
          </w:p>
          <w:p>
            <w:pPr>
              <w:pStyle w:val="null3"/>
            </w:pPr>
            <w:r>
              <w:rPr>
                <w:rFonts w:ascii="仿宋_GB2312" w:hAnsi="仿宋_GB2312" w:cs="仿宋_GB2312" w:eastAsia="仿宋_GB2312"/>
                <w:sz w:val="20"/>
              </w:rPr>
              <w:t>（三）数据传输</w:t>
            </w:r>
          </w:p>
          <w:p>
            <w:pPr>
              <w:pStyle w:val="null3"/>
            </w:pPr>
            <w:r>
              <w:rPr>
                <w:rFonts w:ascii="仿宋_GB2312" w:hAnsi="仿宋_GB2312" w:cs="仿宋_GB2312" w:eastAsia="仿宋_GB2312"/>
                <w:sz w:val="20"/>
              </w:rPr>
              <w:t>利用 LoRa 协议完成数据传输。</w:t>
            </w:r>
          </w:p>
          <w:p>
            <w:pPr>
              <w:pStyle w:val="null3"/>
            </w:pPr>
            <w:r>
              <w:rPr>
                <w:rFonts w:ascii="仿宋_GB2312" w:hAnsi="仿宋_GB2312" w:cs="仿宋_GB2312" w:eastAsia="仿宋_GB2312"/>
                <w:sz w:val="20"/>
              </w:rPr>
              <w:t>（四）设备监控</w:t>
            </w:r>
            <w:r>
              <w:rPr>
                <w:rFonts w:ascii="仿宋_GB2312" w:hAnsi="仿宋_GB2312" w:cs="仿宋_GB2312" w:eastAsia="仿宋_GB2312"/>
                <w:sz w:val="20"/>
              </w:rPr>
              <w:t>功能</w:t>
            </w:r>
          </w:p>
          <w:p>
            <w:pPr>
              <w:pStyle w:val="null3"/>
            </w:pPr>
            <w:r>
              <w:rPr>
                <w:rFonts w:ascii="仿宋_GB2312" w:hAnsi="仿宋_GB2312" w:cs="仿宋_GB2312" w:eastAsia="仿宋_GB2312"/>
                <w:sz w:val="20"/>
              </w:rPr>
              <w:t>▲1.支持远程监控，采用心跳包技术检测判断设备在线状态、防掉线，支持信号检测与自动搜索，离线数据网络恢复后自动上传。</w:t>
            </w:r>
          </w:p>
          <w:p>
            <w:pPr>
              <w:pStyle w:val="null3"/>
            </w:pPr>
            <w:r>
              <w:rPr>
                <w:rFonts w:ascii="仿宋_GB2312" w:hAnsi="仿宋_GB2312" w:cs="仿宋_GB2312" w:eastAsia="仿宋_GB2312"/>
                <w:sz w:val="20"/>
              </w:rPr>
              <w:t>2.支持离线警告并显示离线状态。</w:t>
            </w:r>
          </w:p>
          <w:p>
            <w:pPr>
              <w:pStyle w:val="null3"/>
            </w:pPr>
            <w:r>
              <w:rPr>
                <w:rFonts w:ascii="仿宋_GB2312" w:hAnsi="仿宋_GB2312" w:cs="仿宋_GB2312" w:eastAsia="仿宋_GB2312"/>
                <w:sz w:val="20"/>
              </w:rPr>
              <w:t>3.支持本地升级。</w:t>
            </w:r>
          </w:p>
          <w:p>
            <w:pPr>
              <w:pStyle w:val="null3"/>
              <w:jc w:val="both"/>
            </w:pPr>
            <w:r>
              <w:rPr>
                <w:rFonts w:ascii="仿宋_GB2312" w:hAnsi="仿宋_GB2312" w:cs="仿宋_GB2312" w:eastAsia="仿宋_GB2312"/>
                <w:sz w:val="20"/>
              </w:rPr>
              <w:t>4.支持多种形式的通信状态指示。</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0"/>
                <w:b/>
              </w:rPr>
              <w:t>10.加油机信息采集（1713项）：</w:t>
            </w:r>
          </w:p>
          <w:p>
            <w:pPr>
              <w:pStyle w:val="null3"/>
            </w:pPr>
            <w:r>
              <w:rPr>
                <w:rFonts w:ascii="仿宋_GB2312" w:hAnsi="仿宋_GB2312" w:cs="仿宋_GB2312" w:eastAsia="仿宋_GB2312"/>
                <w:sz w:val="20"/>
              </w:rPr>
              <w:t>（一）通讯接口</w:t>
            </w:r>
          </w:p>
          <w:p>
            <w:pPr>
              <w:pStyle w:val="null3"/>
            </w:pPr>
            <w:r>
              <w:rPr>
                <w:rFonts w:ascii="仿宋_GB2312" w:hAnsi="仿宋_GB2312" w:cs="仿宋_GB2312" w:eastAsia="仿宋_GB2312"/>
                <w:sz w:val="20"/>
              </w:rPr>
              <w:t>1.RS232接口： 不少于4 个 RS232 接口，支持常用波特率。</w:t>
            </w:r>
          </w:p>
          <w:p>
            <w:pPr>
              <w:pStyle w:val="null3"/>
            </w:pPr>
            <w:r>
              <w:rPr>
                <w:rFonts w:ascii="仿宋_GB2312" w:hAnsi="仿宋_GB2312" w:cs="仿宋_GB2312" w:eastAsia="仿宋_GB2312"/>
                <w:sz w:val="20"/>
              </w:rPr>
              <w:t>（二）数据采集功能</w:t>
            </w:r>
          </w:p>
          <w:p>
            <w:pPr>
              <w:pStyle w:val="null3"/>
            </w:pPr>
            <w:r>
              <w:rPr>
                <w:rFonts w:ascii="仿宋_GB2312" w:hAnsi="仿宋_GB2312" w:cs="仿宋_GB2312" w:eastAsia="仿宋_GB2312"/>
                <w:sz w:val="20"/>
              </w:rPr>
              <w:t>1.加油明细采集服务</w:t>
            </w:r>
          </w:p>
          <w:p>
            <w:pPr>
              <w:pStyle w:val="null3"/>
            </w:pPr>
            <w:r>
              <w:rPr>
                <w:rFonts w:ascii="仿宋_GB2312" w:hAnsi="仿宋_GB2312" w:cs="仿宋_GB2312" w:eastAsia="仿宋_GB2312"/>
                <w:sz w:val="20"/>
              </w:rPr>
              <w:t>支持通过报税口采集加油明细数据，且采集数据与加油机屏幕显示数据一致。</w:t>
            </w:r>
          </w:p>
          <w:p>
            <w:pPr>
              <w:pStyle w:val="null3"/>
            </w:pPr>
            <w:r>
              <w:rPr>
                <w:rFonts w:ascii="仿宋_GB2312" w:hAnsi="仿宋_GB2312" w:cs="仿宋_GB2312" w:eastAsia="仿宋_GB2312"/>
                <w:sz w:val="20"/>
              </w:rPr>
              <w:t>▲2.税控信息采集服务</w:t>
            </w:r>
          </w:p>
          <w:p>
            <w:pPr>
              <w:pStyle w:val="null3"/>
            </w:pPr>
            <w:r>
              <w:rPr>
                <w:rFonts w:ascii="仿宋_GB2312" w:hAnsi="仿宋_GB2312" w:cs="仿宋_GB2312" w:eastAsia="仿宋_GB2312"/>
                <w:sz w:val="20"/>
              </w:rPr>
              <w:t>能够采集加油机监控微处理器（税控芯片）序列号信息，并上传到系统平台，系统平台显示的信息与使用专用 POS 机读取的监控微处理器（税控芯片）序列号信息一致。</w:t>
            </w:r>
          </w:p>
          <w:p>
            <w:pPr>
              <w:pStyle w:val="null3"/>
            </w:pPr>
            <w:r>
              <w:rPr>
                <w:rFonts w:ascii="仿宋_GB2312" w:hAnsi="仿宋_GB2312" w:cs="仿宋_GB2312" w:eastAsia="仿宋_GB2312"/>
                <w:sz w:val="20"/>
              </w:rPr>
              <w:t>▲3.支持2019 年后加密机型/支持 2000 年后所有品牌和型号的税控加油机/支持2024年新国标数字加油机数据采集；可采集油量、金额、单价、加油时间，支持历史加油明细数据采集。</w:t>
            </w:r>
          </w:p>
          <w:p>
            <w:pPr>
              <w:pStyle w:val="null3"/>
            </w:pPr>
            <w:r>
              <w:rPr>
                <w:rFonts w:ascii="仿宋_GB2312" w:hAnsi="仿宋_GB2312" w:cs="仿宋_GB2312" w:eastAsia="仿宋_GB2312"/>
                <w:sz w:val="20"/>
              </w:rPr>
              <w:t>支持2000年后所有品牌和型号的税控加油机及2019年后加密机型的总累数据采集，可采集加油机运行以来加油数据累加值，实现指定时间段区间总累查询。</w:t>
            </w:r>
          </w:p>
          <w:p>
            <w:pPr>
              <w:pStyle w:val="null3"/>
            </w:pPr>
            <w:r>
              <w:rPr>
                <w:rFonts w:ascii="仿宋_GB2312" w:hAnsi="仿宋_GB2312" w:cs="仿宋_GB2312" w:eastAsia="仿宋_GB2312"/>
                <w:sz w:val="20"/>
              </w:rPr>
              <w:t xml:space="preserve"> （三）数据存储</w:t>
            </w:r>
          </w:p>
          <w:p>
            <w:pPr>
              <w:pStyle w:val="null3"/>
            </w:pPr>
            <w:r>
              <w:rPr>
                <w:rFonts w:ascii="仿宋_GB2312" w:hAnsi="仿宋_GB2312" w:cs="仿宋_GB2312" w:eastAsia="仿宋_GB2312"/>
                <w:sz w:val="20"/>
              </w:rPr>
              <w:t>离线断网存储，离线时自动存储，支持单设备不少于 10000 笔加油记录存储。</w:t>
            </w:r>
          </w:p>
          <w:p>
            <w:pPr>
              <w:pStyle w:val="null3"/>
            </w:pPr>
            <w:r>
              <w:rPr>
                <w:rFonts w:ascii="仿宋_GB2312" w:hAnsi="仿宋_GB2312" w:cs="仿宋_GB2312" w:eastAsia="仿宋_GB2312"/>
                <w:sz w:val="20"/>
              </w:rPr>
              <w:t>（四）数据传输</w:t>
            </w:r>
          </w:p>
          <w:p>
            <w:pPr>
              <w:pStyle w:val="null3"/>
            </w:pPr>
            <w:r>
              <w:rPr>
                <w:rFonts w:ascii="仿宋_GB2312" w:hAnsi="仿宋_GB2312" w:cs="仿宋_GB2312" w:eastAsia="仿宋_GB2312"/>
                <w:sz w:val="20"/>
              </w:rPr>
              <w:t>▲利用 LoRa 协议完成数据传输。</w:t>
            </w:r>
          </w:p>
          <w:p>
            <w:pPr>
              <w:pStyle w:val="null3"/>
            </w:pPr>
            <w:r>
              <w:rPr>
                <w:rFonts w:ascii="仿宋_GB2312" w:hAnsi="仿宋_GB2312" w:cs="仿宋_GB2312" w:eastAsia="仿宋_GB2312"/>
                <w:sz w:val="20"/>
              </w:rPr>
              <w:t>（五）设备监控和系统功能</w:t>
            </w:r>
          </w:p>
          <w:p>
            <w:pPr>
              <w:pStyle w:val="null3"/>
            </w:pPr>
            <w:r>
              <w:rPr>
                <w:rFonts w:ascii="仿宋_GB2312" w:hAnsi="仿宋_GB2312" w:cs="仿宋_GB2312" w:eastAsia="仿宋_GB2312"/>
                <w:sz w:val="20"/>
              </w:rPr>
              <w:t>1.支持远程监控，采用心跳包技术检测判断设备在线状态、防掉线，支持信号检测与自动搜索，离线数据网络恢复后自动上传。</w:t>
            </w:r>
          </w:p>
          <w:p>
            <w:pPr>
              <w:pStyle w:val="null3"/>
            </w:pPr>
            <w:r>
              <w:rPr>
                <w:rFonts w:ascii="仿宋_GB2312" w:hAnsi="仿宋_GB2312" w:cs="仿宋_GB2312" w:eastAsia="仿宋_GB2312"/>
                <w:sz w:val="20"/>
              </w:rPr>
              <w:t>2.支持离线警告并显示离线状态。</w:t>
            </w:r>
          </w:p>
          <w:p>
            <w:pPr>
              <w:pStyle w:val="null3"/>
            </w:pPr>
            <w:r>
              <w:rPr>
                <w:rFonts w:ascii="仿宋_GB2312" w:hAnsi="仿宋_GB2312" w:cs="仿宋_GB2312" w:eastAsia="仿宋_GB2312"/>
                <w:sz w:val="20"/>
              </w:rPr>
              <w:t>3.支持加油机油枪实时监控。</w:t>
            </w:r>
          </w:p>
          <w:p>
            <w:pPr>
              <w:pStyle w:val="null3"/>
            </w:pPr>
            <w:r>
              <w:rPr>
                <w:rFonts w:ascii="仿宋_GB2312" w:hAnsi="仿宋_GB2312" w:cs="仿宋_GB2312" w:eastAsia="仿宋_GB2312"/>
                <w:sz w:val="20"/>
              </w:rPr>
              <w:t>4.支持本地升级。</w:t>
            </w:r>
          </w:p>
          <w:p>
            <w:pPr>
              <w:pStyle w:val="null3"/>
              <w:jc w:val="both"/>
            </w:pPr>
            <w:r>
              <w:rPr>
                <w:rFonts w:ascii="仿宋_GB2312" w:hAnsi="仿宋_GB2312" w:cs="仿宋_GB2312" w:eastAsia="仿宋_GB2312"/>
                <w:sz w:val="20"/>
              </w:rPr>
              <w:t>5.支持多种形式的通信状态指示。</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0"/>
                <w:b/>
              </w:rPr>
              <w:t>11.数据安全传输</w:t>
            </w:r>
            <w:r>
              <w:rPr>
                <w:rFonts w:ascii="仿宋_GB2312" w:hAnsi="仿宋_GB2312" w:cs="仿宋_GB2312" w:eastAsia="仿宋_GB2312"/>
                <w:sz w:val="20"/>
                <w:b/>
              </w:rPr>
              <w:t>（</w:t>
            </w:r>
            <w:r>
              <w:rPr>
                <w:rFonts w:ascii="仿宋_GB2312" w:hAnsi="仿宋_GB2312" w:cs="仿宋_GB2312" w:eastAsia="仿宋_GB2312"/>
                <w:sz w:val="20"/>
                <w:b/>
              </w:rPr>
              <w:t>507项</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数据汇聚接口</w:t>
            </w:r>
            <w:r>
              <w:rPr>
                <w:rFonts w:ascii="仿宋_GB2312" w:hAnsi="仿宋_GB2312" w:cs="仿宋_GB2312" w:eastAsia="仿宋_GB2312"/>
                <w:sz w:val="20"/>
              </w:rPr>
              <w:t>≥16个千兆电口；交换容量≥32 Gbps；包转发率≥23.81 Mpps；AC地址容量≥8K；缓存≥4.1 Mbits；设备具备CQC认证证书；</w:t>
            </w:r>
            <w:r>
              <w:rPr>
                <w:rFonts w:ascii="仿宋_GB2312" w:hAnsi="仿宋_GB2312" w:cs="仿宋_GB2312" w:eastAsia="仿宋_GB2312"/>
                <w:sz w:val="20"/>
              </w:rPr>
              <w:t>安全信息</w:t>
            </w:r>
            <w:r>
              <w:rPr>
                <w:rFonts w:ascii="仿宋_GB2312" w:hAnsi="仿宋_GB2312" w:cs="仿宋_GB2312" w:eastAsia="仿宋_GB2312"/>
                <w:sz w:val="20"/>
              </w:rPr>
              <w:t>吞吐性能≥300M；IPSEC VPN加密性能≥60M；并发连接数≥10万；每秒新建连接数≥5000；支持WIFI、支持4G；内存≥512M；接口≥5千兆电口；具备智能流量调度及优化、易部署和支持可视化集中管理、多维度安全防护等特性；符合GM/T 0022《IPSec VPN网关产品规范》、符合 GM/T 0028《密码模块安全技术要求》第二级要求；★具备国家密码管理局商用密码检测认证中心颁发的《商用密码产品认证证书》，含3年软件升级。</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0"/>
                <w:b/>
              </w:rPr>
              <w:t>12.集中安全管理平台</w:t>
            </w:r>
            <w:r>
              <w:rPr>
                <w:rFonts w:ascii="仿宋_GB2312" w:hAnsi="仿宋_GB2312" w:cs="仿宋_GB2312" w:eastAsia="仿宋_GB2312"/>
                <w:sz w:val="20"/>
                <w:b/>
              </w:rPr>
              <w:t>（</w:t>
            </w:r>
            <w:r>
              <w:rPr>
                <w:rFonts w:ascii="仿宋_GB2312" w:hAnsi="仿宋_GB2312" w:cs="仿宋_GB2312" w:eastAsia="仿宋_GB2312"/>
                <w:sz w:val="20"/>
                <w:b/>
              </w:rPr>
              <w:t>2套</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可统一管理数据安全传输服务，</w:t>
            </w:r>
            <w:r>
              <w:rPr>
                <w:rFonts w:ascii="仿宋_GB2312" w:hAnsi="仿宋_GB2312" w:cs="仿宋_GB2312" w:eastAsia="仿宋_GB2312"/>
                <w:sz w:val="20"/>
              </w:rPr>
              <w:t>具备分支机构组网设备的集中管理功能，支持常见的网络接入方式。规格:机架式服务器：1颗CPU，核数不小于4核，每颗CPU主频不小于2.2GHz，内存：不小于16G，硬盘容量：不小于256GSSD+2TSATA，接口：不少于6个千兆电口+2个千兆光口SFP+2*USB接口；不小于300套受控端接入授权软件，含3年软件升级。</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0"/>
                <w:b/>
              </w:rPr>
              <w:t>13.视频接入隔离系统</w:t>
            </w:r>
            <w:r>
              <w:rPr>
                <w:rFonts w:ascii="仿宋_GB2312" w:hAnsi="仿宋_GB2312" w:cs="仿宋_GB2312" w:eastAsia="仿宋_GB2312"/>
                <w:sz w:val="20"/>
                <w:b/>
              </w:rPr>
              <w:t>（</w:t>
            </w:r>
            <w:r>
              <w:rPr>
                <w:rFonts w:ascii="仿宋_GB2312" w:hAnsi="仿宋_GB2312" w:cs="仿宋_GB2312" w:eastAsia="仿宋_GB2312"/>
                <w:sz w:val="20"/>
                <w:b/>
              </w:rPr>
              <w:t>1套</w:t>
            </w:r>
            <w:r>
              <w:rPr>
                <w:rFonts w:ascii="仿宋_GB2312" w:hAnsi="仿宋_GB2312" w:cs="仿宋_GB2312" w:eastAsia="仿宋_GB2312"/>
                <w:sz w:val="20"/>
                <w:b/>
              </w:rPr>
              <w:t>）</w:t>
            </w:r>
          </w:p>
          <w:p>
            <w:pPr>
              <w:pStyle w:val="null3"/>
            </w:pPr>
            <w:r>
              <w:rPr>
                <w:rFonts w:ascii="仿宋_GB2312" w:hAnsi="仿宋_GB2312" w:cs="仿宋_GB2312" w:eastAsia="仿宋_GB2312"/>
                <w:sz w:val="20"/>
              </w:rPr>
              <w:t>1.支持不少于20000路的视频通道接入。</w:t>
            </w:r>
          </w:p>
          <w:p>
            <w:pPr>
              <w:pStyle w:val="null3"/>
            </w:pPr>
            <w:r>
              <w:rPr>
                <w:rFonts w:ascii="仿宋_GB2312" w:hAnsi="仿宋_GB2312" w:cs="仿宋_GB2312" w:eastAsia="仿宋_GB2312"/>
                <w:sz w:val="20"/>
              </w:rPr>
              <w:t>2.支持不少于256路1080P视频流转码加密为GB35114C级。</w:t>
            </w:r>
          </w:p>
          <w:p>
            <w:pPr>
              <w:pStyle w:val="null3"/>
            </w:pPr>
            <w:r>
              <w:rPr>
                <w:rFonts w:ascii="仿宋_GB2312" w:hAnsi="仿宋_GB2312" w:cs="仿宋_GB2312" w:eastAsia="仿宋_GB2312"/>
                <w:sz w:val="20"/>
              </w:rPr>
              <w:t>3.支持不少于128路4MP（2560*1440）的视频流转码加密为GB35114C级。</w:t>
            </w:r>
          </w:p>
          <w:p>
            <w:pPr>
              <w:pStyle w:val="null3"/>
            </w:pPr>
            <w:r>
              <w:rPr>
                <w:rFonts w:ascii="仿宋_GB2312" w:hAnsi="仿宋_GB2312" w:cs="仿宋_GB2312" w:eastAsia="仿宋_GB2312"/>
                <w:sz w:val="20"/>
              </w:rPr>
              <w:t>4.支持不少于64路4K（3840*2160）视频流转码加密为GB35114C级。</w:t>
            </w:r>
          </w:p>
          <w:p>
            <w:pPr>
              <w:pStyle w:val="null3"/>
            </w:pPr>
            <w:r>
              <w:rPr>
                <w:rFonts w:ascii="仿宋_GB2312" w:hAnsi="仿宋_GB2312" w:cs="仿宋_GB2312" w:eastAsia="仿宋_GB2312"/>
                <w:sz w:val="20"/>
              </w:rPr>
              <w:t>5.支持H264、H265码流等不同编码格式、不同封装、不同码流的视频流到SVAC2.0的转码。</w:t>
            </w:r>
          </w:p>
          <w:p>
            <w:pPr>
              <w:pStyle w:val="null3"/>
            </w:pPr>
            <w:r>
              <w:rPr>
                <w:rFonts w:ascii="仿宋_GB2312" w:hAnsi="仿宋_GB2312" w:cs="仿宋_GB2312" w:eastAsia="仿宋_GB2312"/>
                <w:sz w:val="20"/>
              </w:rPr>
              <w:t>▲6.支持不少于1000路的GB/T28181视频通道转换为GB35114A级。</w:t>
            </w:r>
          </w:p>
          <w:p>
            <w:pPr>
              <w:pStyle w:val="null3"/>
            </w:pPr>
            <w:r>
              <w:rPr>
                <w:rFonts w:ascii="仿宋_GB2312" w:hAnsi="仿宋_GB2312" w:cs="仿宋_GB2312" w:eastAsia="仿宋_GB2312"/>
                <w:sz w:val="20"/>
              </w:rPr>
              <w:t>7.支持不少于256路1080P视频的并行智能分析功能。</w:t>
            </w:r>
          </w:p>
          <w:p>
            <w:pPr>
              <w:pStyle w:val="null3"/>
            </w:pPr>
            <w:r>
              <w:rPr>
                <w:rFonts w:ascii="仿宋_GB2312" w:hAnsi="仿宋_GB2312" w:cs="仿宋_GB2312" w:eastAsia="仿宋_GB2312"/>
                <w:sz w:val="20"/>
              </w:rPr>
              <w:t>8.支持802.1xEAP-TLS证书认证协议。</w:t>
            </w:r>
          </w:p>
          <w:p>
            <w:pPr>
              <w:pStyle w:val="null3"/>
            </w:pPr>
            <w:r>
              <w:rPr>
                <w:rFonts w:ascii="仿宋_GB2312" w:hAnsi="仿宋_GB2312" w:cs="仿宋_GB2312" w:eastAsia="仿宋_GB2312"/>
                <w:sz w:val="20"/>
              </w:rPr>
              <w:t>▲9.支持通过国密算法对图片和结构化数据加密后通过GA/T1400协议推送上级平台。</w:t>
            </w:r>
          </w:p>
          <w:p>
            <w:pPr>
              <w:pStyle w:val="null3"/>
            </w:pPr>
            <w:r>
              <w:rPr>
                <w:rFonts w:ascii="仿宋_GB2312" w:hAnsi="仿宋_GB2312" w:cs="仿宋_GB2312" w:eastAsia="仿宋_GB2312"/>
                <w:sz w:val="20"/>
              </w:rPr>
              <w:t>10.支持通过GA/T1400协议接收前端设备/平台上传的图片和结构化数据。</w:t>
            </w:r>
          </w:p>
          <w:p>
            <w:pPr>
              <w:pStyle w:val="null3"/>
            </w:pPr>
            <w:r>
              <w:rPr>
                <w:rFonts w:ascii="仿宋_GB2312" w:hAnsi="仿宋_GB2312" w:cs="仿宋_GB2312" w:eastAsia="仿宋_GB2312"/>
                <w:sz w:val="20"/>
              </w:rPr>
              <w:t>11.支持基于IP地址、端口的访问控制，只允许IP地址白名单的对象、指定端口的访问。</w:t>
            </w:r>
          </w:p>
          <w:p>
            <w:pPr>
              <w:pStyle w:val="null3"/>
            </w:pPr>
            <w:r>
              <w:rPr>
                <w:rFonts w:ascii="仿宋_GB2312" w:hAnsi="仿宋_GB2312" w:cs="仿宋_GB2312" w:eastAsia="仿宋_GB2312"/>
                <w:sz w:val="20"/>
              </w:rPr>
              <w:t>12.支持不少于GB35114、GB/T28181、GA/T1400.4协议识别，对不符合协议格式的信令进行拦截丢弃。</w:t>
            </w:r>
          </w:p>
          <w:p>
            <w:pPr>
              <w:pStyle w:val="null3"/>
            </w:pPr>
            <w:r>
              <w:rPr>
                <w:rFonts w:ascii="仿宋_GB2312" w:hAnsi="仿宋_GB2312" w:cs="仿宋_GB2312" w:eastAsia="仿宋_GB2312"/>
                <w:sz w:val="20"/>
              </w:rPr>
              <w:t>13.支持对身份鉴别结果、操作事件、重要管理配置操作和异常报警进行日志记录。</w:t>
            </w:r>
          </w:p>
          <w:p>
            <w:pPr>
              <w:pStyle w:val="null3"/>
            </w:pPr>
            <w:r>
              <w:rPr>
                <w:rFonts w:ascii="仿宋_GB2312" w:hAnsi="仿宋_GB2312" w:cs="仿宋_GB2312" w:eastAsia="仿宋_GB2312"/>
                <w:sz w:val="20"/>
              </w:rPr>
              <w:t>14.含不少于20000路的视频通道接入授权。</w:t>
            </w:r>
          </w:p>
          <w:p>
            <w:pPr>
              <w:pStyle w:val="null3"/>
            </w:pPr>
            <w:r>
              <w:rPr>
                <w:rFonts w:ascii="仿宋_GB2312" w:hAnsi="仿宋_GB2312" w:cs="仿宋_GB2312" w:eastAsia="仿宋_GB2312"/>
                <w:sz w:val="20"/>
              </w:rPr>
              <w:t>15.支持不少于200路图片数据的加密转发。</w:t>
            </w:r>
          </w:p>
          <w:p>
            <w:pPr>
              <w:pStyle w:val="null3"/>
            </w:pPr>
            <w:r>
              <w:rPr>
                <w:rFonts w:ascii="仿宋_GB2312" w:hAnsi="仿宋_GB2312" w:cs="仿宋_GB2312" w:eastAsia="仿宋_GB2312"/>
                <w:sz w:val="20"/>
              </w:rPr>
              <w:t>16.内置同时支持SVAC2.0、H.264和H.265的国产视频AI计算卡。</w:t>
            </w:r>
          </w:p>
          <w:p>
            <w:pPr>
              <w:pStyle w:val="null3"/>
            </w:pPr>
            <w:r>
              <w:rPr>
                <w:rFonts w:ascii="仿宋_GB2312" w:hAnsi="仿宋_GB2312" w:cs="仿宋_GB2312" w:eastAsia="仿宋_GB2312"/>
                <w:sz w:val="20"/>
              </w:rPr>
              <w:t>17.内置的国产视频AI加速卡的单卡功耗不高于50W。</w:t>
            </w:r>
          </w:p>
          <w:p>
            <w:pPr>
              <w:pStyle w:val="null3"/>
            </w:pPr>
            <w:r>
              <w:rPr>
                <w:rFonts w:ascii="仿宋_GB2312" w:hAnsi="仿宋_GB2312" w:cs="仿宋_GB2312" w:eastAsia="仿宋_GB2312"/>
                <w:sz w:val="20"/>
              </w:rPr>
              <w:t>18.采用标准机架式服务器结构，支持1+1冗余电源，不小于2个PCI-EX16接口，满足机房机柜安装环境。</w:t>
            </w:r>
          </w:p>
          <w:p>
            <w:pPr>
              <w:pStyle w:val="null3"/>
            </w:pPr>
            <w:r>
              <w:rPr>
                <w:rFonts w:ascii="仿宋_GB2312" w:hAnsi="仿宋_GB2312" w:cs="仿宋_GB2312" w:eastAsia="仿宋_GB2312"/>
                <w:sz w:val="20"/>
              </w:rPr>
              <w:t>19.符合GA/T1781标准。</w:t>
            </w:r>
          </w:p>
          <w:p>
            <w:pPr>
              <w:pStyle w:val="null3"/>
            </w:pPr>
            <w:r>
              <w:rPr>
                <w:rFonts w:ascii="仿宋_GB2312" w:hAnsi="仿宋_GB2312" w:cs="仿宋_GB2312" w:eastAsia="仿宋_GB2312"/>
                <w:sz w:val="20"/>
              </w:rPr>
              <w:t>20.含3年软件升级。</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0"/>
                <w:b/>
              </w:rPr>
              <w:t>14.操作系统</w:t>
            </w:r>
            <w:r>
              <w:rPr>
                <w:rFonts w:ascii="仿宋_GB2312" w:hAnsi="仿宋_GB2312" w:cs="仿宋_GB2312" w:eastAsia="仿宋_GB2312"/>
                <w:sz w:val="20"/>
                <w:b/>
              </w:rPr>
              <w:t>（</w:t>
            </w:r>
            <w:r>
              <w:rPr>
                <w:rFonts w:ascii="仿宋_GB2312" w:hAnsi="仿宋_GB2312" w:cs="仿宋_GB2312" w:eastAsia="仿宋_GB2312"/>
                <w:sz w:val="20"/>
                <w:b/>
              </w:rPr>
              <w:t>9套</w:t>
            </w:r>
            <w:r>
              <w:rPr>
                <w:rFonts w:ascii="仿宋_GB2312" w:hAnsi="仿宋_GB2312" w:cs="仿宋_GB2312" w:eastAsia="仿宋_GB2312"/>
                <w:sz w:val="20"/>
                <w:b/>
              </w:rPr>
              <w:t>）</w:t>
            </w:r>
          </w:p>
          <w:p>
            <w:pPr>
              <w:pStyle w:val="null3"/>
            </w:pPr>
            <w:r>
              <w:rPr>
                <w:rFonts w:ascii="仿宋_GB2312" w:hAnsi="仿宋_GB2312" w:cs="仿宋_GB2312" w:eastAsia="仿宋_GB2312"/>
                <w:sz w:val="20"/>
              </w:rPr>
              <w:t>★1.操作系统产品应当符合安全可靠测评要求，在中国信息安全测评中心发布的《安全可靠测评结果公告》名单中。</w:t>
            </w:r>
          </w:p>
          <w:p>
            <w:pPr>
              <w:pStyle w:val="null3"/>
            </w:pPr>
            <w:r>
              <w:rPr>
                <w:rFonts w:ascii="仿宋_GB2312" w:hAnsi="仿宋_GB2312" w:cs="仿宋_GB2312" w:eastAsia="仿宋_GB2312"/>
                <w:sz w:val="20"/>
              </w:rPr>
              <w:t>2.操作系统产品应当满足《操作系统政府采购需求标准（2023年版）》（财库[2023]34号）要求。</w:t>
            </w:r>
          </w:p>
          <w:p>
            <w:pPr>
              <w:pStyle w:val="null3"/>
            </w:pPr>
            <w:r>
              <w:rPr>
                <w:rFonts w:ascii="仿宋_GB2312" w:hAnsi="仿宋_GB2312" w:cs="仿宋_GB2312" w:eastAsia="仿宋_GB2312"/>
                <w:sz w:val="20"/>
              </w:rPr>
              <w:t>3</w:t>
            </w:r>
            <w:r>
              <w:rPr>
                <w:rFonts w:ascii="仿宋_GB2312" w:hAnsi="仿宋_GB2312" w:cs="仿宋_GB2312" w:eastAsia="仿宋_GB2312"/>
                <w:sz w:val="20"/>
              </w:rPr>
              <w:t>.支持龙芯、兆芯、飞腾、鲲鹏、海光等主流国产CPU。</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.提供安全中心管控工具，提供图形化应用执行控制工具，具有检查应用程序完整性、来源等功能。</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0"/>
                <w:b/>
              </w:rPr>
              <w:t>15.数据库</w:t>
            </w:r>
            <w:r>
              <w:rPr>
                <w:rFonts w:ascii="仿宋_GB2312" w:hAnsi="仿宋_GB2312" w:cs="仿宋_GB2312" w:eastAsia="仿宋_GB2312"/>
                <w:sz w:val="20"/>
                <w:b/>
              </w:rPr>
              <w:t>（</w:t>
            </w:r>
            <w:r>
              <w:rPr>
                <w:rFonts w:ascii="仿宋_GB2312" w:hAnsi="仿宋_GB2312" w:cs="仿宋_GB2312" w:eastAsia="仿宋_GB2312"/>
                <w:sz w:val="20"/>
                <w:b/>
              </w:rPr>
              <w:t>3套</w:t>
            </w:r>
            <w:r>
              <w:rPr>
                <w:rFonts w:ascii="仿宋_GB2312" w:hAnsi="仿宋_GB2312" w:cs="仿宋_GB2312" w:eastAsia="仿宋_GB2312"/>
                <w:sz w:val="20"/>
                <w:b/>
              </w:rPr>
              <w:t>）：</w:t>
            </w:r>
          </w:p>
          <w:p>
            <w:pPr>
              <w:pStyle w:val="null3"/>
            </w:pPr>
            <w:r>
              <w:rPr>
                <w:rFonts w:ascii="仿宋_GB2312" w:hAnsi="仿宋_GB2312" w:cs="仿宋_GB2312" w:eastAsia="仿宋_GB2312"/>
                <w:sz w:val="20"/>
              </w:rPr>
              <w:t>1.产品需为国产集中式关系型数据库，具有跨操作系统平台的能力，麒麟、UOS等操作系统等，支持鲲鹏、海光、飞腾等处理器。</w:t>
            </w:r>
          </w:p>
          <w:p>
            <w:pPr>
              <w:pStyle w:val="null3"/>
            </w:pPr>
            <w:r>
              <w:rPr>
                <w:rFonts w:ascii="仿宋_GB2312" w:hAnsi="仿宋_GB2312" w:cs="仿宋_GB2312" w:eastAsia="仿宋_GB2312"/>
                <w:sz w:val="20"/>
              </w:rPr>
              <w:t>★</w:t>
            </w:r>
            <w:r>
              <w:rPr>
                <w:rFonts w:ascii="仿宋_GB2312" w:hAnsi="仿宋_GB2312" w:cs="仿宋_GB2312" w:eastAsia="仿宋_GB2312"/>
                <w:sz w:val="20"/>
              </w:rPr>
              <w:t>2.产品需通过中国信息安全测评中心或国家保密科技测评中心的安全可靠评测。</w:t>
            </w:r>
          </w:p>
          <w:p>
            <w:pPr>
              <w:pStyle w:val="null3"/>
            </w:pPr>
            <w:r>
              <w:rPr>
                <w:rFonts w:ascii="仿宋_GB2312" w:hAnsi="仿宋_GB2312" w:cs="仿宋_GB2312" w:eastAsia="仿宋_GB2312"/>
                <w:sz w:val="20"/>
              </w:rPr>
              <w:t>3.支持ANSI SQL-2003以上标准；支持JDBC/ODBC标准接口；支持PL/pgSQL、PL/Java等过程语言。</w:t>
            </w:r>
          </w:p>
          <w:p>
            <w:pPr>
              <w:pStyle w:val="null3"/>
              <w:jc w:val="both"/>
            </w:pPr>
            <w:r>
              <w:rPr>
                <w:rFonts w:ascii="仿宋_GB2312" w:hAnsi="仿宋_GB2312" w:cs="仿宋_GB2312" w:eastAsia="仿宋_GB2312"/>
                <w:sz w:val="20"/>
              </w:rPr>
              <w:t>4.支持数据库集群部署。在任意数据库实例出现故障时，集群内服务正常运行，数据不丢失，集群整体业务可用。</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0"/>
                <w:b/>
              </w:rPr>
              <w:t>16.</w:t>
            </w:r>
            <w:r>
              <w:rPr>
                <w:rFonts w:ascii="仿宋_GB2312" w:hAnsi="仿宋_GB2312" w:cs="仿宋_GB2312" w:eastAsia="仿宋_GB2312"/>
                <w:sz w:val="20"/>
                <w:b/>
              </w:rPr>
              <w:t>中间件（</w:t>
            </w:r>
            <w:r>
              <w:rPr>
                <w:rFonts w:ascii="仿宋_GB2312" w:hAnsi="仿宋_GB2312" w:cs="仿宋_GB2312" w:eastAsia="仿宋_GB2312"/>
                <w:sz w:val="20"/>
                <w:b/>
              </w:rPr>
              <w:t>3套</w:t>
            </w:r>
            <w:r>
              <w:rPr>
                <w:rFonts w:ascii="仿宋_GB2312" w:hAnsi="仿宋_GB2312" w:cs="仿宋_GB2312" w:eastAsia="仿宋_GB2312"/>
                <w:sz w:val="20"/>
                <w:b/>
              </w:rPr>
              <w:t>）：</w:t>
            </w:r>
          </w:p>
          <w:p>
            <w:pPr>
              <w:pStyle w:val="null3"/>
            </w:pPr>
            <w:r>
              <w:rPr>
                <w:rFonts w:ascii="仿宋_GB2312" w:hAnsi="仿宋_GB2312" w:cs="仿宋_GB2312" w:eastAsia="仿宋_GB2312"/>
                <w:sz w:val="20"/>
              </w:rPr>
              <w:t>1.产品应具备良好的生态环境适应能力，支持多种主流国产操作系统，如麒麟OS、统信UOS等；支持多种主流国产数据库系统，如达梦、金仓、神通、南大通用等。</w:t>
            </w:r>
          </w:p>
          <w:p>
            <w:pPr>
              <w:pStyle w:val="null3"/>
            </w:pPr>
            <w:r>
              <w:rPr>
                <w:rFonts w:ascii="仿宋_GB2312" w:hAnsi="仿宋_GB2312" w:cs="仿宋_GB2312" w:eastAsia="仿宋_GB2312"/>
                <w:sz w:val="20"/>
              </w:rPr>
              <w:t>2.支持集群部署，提供集群管理工具。</w:t>
            </w:r>
          </w:p>
          <w:p>
            <w:pPr>
              <w:pStyle w:val="null3"/>
            </w:pPr>
            <w:r>
              <w:rPr>
                <w:rFonts w:ascii="仿宋_GB2312" w:hAnsi="仿宋_GB2312" w:cs="仿宋_GB2312" w:eastAsia="仿宋_GB2312"/>
                <w:sz w:val="20"/>
              </w:rPr>
              <w:t>3.支持在管理控制台页面上配置异步日志，保证日志输出的同时降低对应用系统性能的影响。</w:t>
            </w:r>
          </w:p>
          <w:p>
            <w:pPr>
              <w:pStyle w:val="null3"/>
              <w:jc w:val="both"/>
            </w:pPr>
            <w:r>
              <w:rPr>
                <w:rFonts w:ascii="仿宋_GB2312" w:hAnsi="仿宋_GB2312" w:cs="仿宋_GB2312" w:eastAsia="仿宋_GB2312"/>
                <w:sz w:val="20"/>
              </w:rPr>
              <w:t>4.监控服务可以选择监视信息的回放时间段，方便运维人员了解过去某段时间的系统和应用的监控情况。</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0"/>
                <w:b/>
              </w:rPr>
              <w:t>17.</w:t>
            </w:r>
            <w:r>
              <w:rPr>
                <w:rFonts w:ascii="仿宋_GB2312" w:hAnsi="仿宋_GB2312" w:cs="仿宋_GB2312" w:eastAsia="仿宋_GB2312"/>
                <w:sz w:val="20"/>
                <w:b/>
              </w:rPr>
              <w:t>数据采集软件（</w:t>
            </w:r>
            <w:r>
              <w:rPr>
                <w:rFonts w:ascii="仿宋_GB2312" w:hAnsi="仿宋_GB2312" w:cs="仿宋_GB2312" w:eastAsia="仿宋_GB2312"/>
                <w:sz w:val="20"/>
                <w:b/>
              </w:rPr>
              <w:t>305套</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主要采集加油站经营数据，包括加油机销售流水（油枪、油品、单价、油量、金额、时间），依托加油站原有的零售管理系统，监控并采集实际经营数据明细，上传至监管平台进行全面智能化分析，确保数据采集的完整性。</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0"/>
                <w:b/>
              </w:rPr>
              <w:t>18.</w:t>
            </w:r>
            <w:r>
              <w:rPr>
                <w:rFonts w:ascii="仿宋_GB2312" w:hAnsi="仿宋_GB2312" w:cs="仿宋_GB2312" w:eastAsia="仿宋_GB2312"/>
                <w:sz w:val="20"/>
                <w:b/>
              </w:rPr>
              <w:t>国密浏览器（</w:t>
            </w:r>
            <w:r>
              <w:rPr>
                <w:rFonts w:ascii="仿宋_GB2312" w:hAnsi="仿宋_GB2312" w:cs="仿宋_GB2312" w:eastAsia="仿宋_GB2312"/>
                <w:sz w:val="20"/>
                <w:b/>
              </w:rPr>
              <w:t>80套</w:t>
            </w:r>
            <w:r>
              <w:rPr>
                <w:rFonts w:ascii="仿宋_GB2312" w:hAnsi="仿宋_GB2312" w:cs="仿宋_GB2312" w:eastAsia="仿宋_GB2312"/>
                <w:sz w:val="20"/>
                <w:b/>
              </w:rPr>
              <w:t>）：</w:t>
            </w:r>
          </w:p>
          <w:p>
            <w:pPr>
              <w:pStyle w:val="null3"/>
            </w:pPr>
            <w:r>
              <w:rPr>
                <w:rFonts w:ascii="仿宋_GB2312" w:hAnsi="仿宋_GB2312" w:cs="仿宋_GB2312" w:eastAsia="仿宋_GB2312"/>
                <w:sz w:val="20"/>
              </w:rPr>
              <w:t>1.</w:t>
            </w:r>
            <w:r>
              <w:rPr>
                <w:rFonts w:ascii="仿宋_GB2312" w:hAnsi="仿宋_GB2312" w:cs="仿宋_GB2312" w:eastAsia="仿宋_GB2312"/>
                <w:sz w:val="20"/>
              </w:rPr>
              <w:t>支持SM2、SM3、SM4等算法，保证Web网页访问的安全性，浏览器客户端，可以接受管理平台的统一管理。</w:t>
            </w:r>
          </w:p>
          <w:p>
            <w:pPr>
              <w:pStyle w:val="null3"/>
            </w:pPr>
            <w:r>
              <w:rPr>
                <w:rFonts w:ascii="仿宋_GB2312" w:hAnsi="仿宋_GB2312" w:cs="仿宋_GB2312" w:eastAsia="仿宋_GB2312"/>
                <w:sz w:val="20"/>
              </w:rPr>
              <w:t>2.支持国产操作系统和主流国产CPU环境。</w:t>
            </w:r>
          </w:p>
          <w:p>
            <w:pPr>
              <w:pStyle w:val="null3"/>
            </w:pPr>
            <w:r>
              <w:rPr>
                <w:rFonts w:ascii="仿宋_GB2312" w:hAnsi="仿宋_GB2312" w:cs="仿宋_GB2312" w:eastAsia="仿宋_GB2312"/>
                <w:sz w:val="20"/>
              </w:rPr>
              <w:t>3.浏览器客户端可接受管控策略，开启国密通信等功能并可指定开启国密访问的应用范围。浏览器双内核同时支持SM2/SM3/SM4国密算法和RSA等通过国际算法，以及SSL单双向安全协议，与Web服务器之间建立安全通道，保证Web网页访问的安全性。</w:t>
            </w:r>
          </w:p>
          <w:p>
            <w:pPr>
              <w:pStyle w:val="null3"/>
            </w:pPr>
            <w:r>
              <w:rPr>
                <w:rFonts w:ascii="仿宋_GB2312" w:hAnsi="仿宋_GB2312" w:cs="仿宋_GB2312" w:eastAsia="仿宋_GB2312"/>
                <w:sz w:val="20"/>
              </w:rPr>
              <w:t>4.具有《商用密码产品认证证书》。</w:t>
            </w:r>
          </w:p>
          <w:p>
            <w:pPr>
              <w:pStyle w:val="null3"/>
              <w:jc w:val="both"/>
            </w:pPr>
            <w:r>
              <w:rPr>
                <w:rFonts w:ascii="仿宋_GB2312" w:hAnsi="仿宋_GB2312" w:cs="仿宋_GB2312" w:eastAsia="仿宋_GB2312"/>
                <w:sz w:val="20"/>
              </w:rPr>
              <w:t>平台用户、运维人员安全登录平台，支持国密算法SM2/SM3/SM4，遵循国家密码管理局发布的相关密码规范。</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0"/>
                <w:b/>
              </w:rPr>
              <w:t>19.</w:t>
            </w:r>
            <w:r>
              <w:rPr>
                <w:rFonts w:ascii="仿宋_GB2312" w:hAnsi="仿宋_GB2312" w:cs="仿宋_GB2312" w:eastAsia="仿宋_GB2312"/>
                <w:sz w:val="20"/>
                <w:b/>
              </w:rPr>
              <w:t>系统管理（</w:t>
            </w:r>
            <w:r>
              <w:rPr>
                <w:rFonts w:ascii="仿宋_GB2312" w:hAnsi="仿宋_GB2312" w:cs="仿宋_GB2312" w:eastAsia="仿宋_GB2312"/>
                <w:sz w:val="20"/>
                <w:b/>
              </w:rPr>
              <w:t>1套</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基础系统配置、指标监测配置、事件转发联动配置、通用配置、监管端和企业端的账号管理、人员管理、视频配置、传感器数据实时监测、重点部位视频配置等。</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sz w:val="20"/>
                <w:b/>
              </w:rPr>
              <w:t>20.边缘域智能调度</w:t>
            </w:r>
            <w:r>
              <w:rPr>
                <w:rFonts w:ascii="仿宋_GB2312" w:hAnsi="仿宋_GB2312" w:cs="仿宋_GB2312" w:eastAsia="仿宋_GB2312"/>
                <w:sz w:val="20"/>
                <w:b/>
              </w:rPr>
              <w:t>（</w:t>
            </w:r>
            <w:r>
              <w:rPr>
                <w:rFonts w:ascii="仿宋_GB2312" w:hAnsi="仿宋_GB2312" w:cs="仿宋_GB2312" w:eastAsia="仿宋_GB2312"/>
                <w:sz w:val="20"/>
                <w:b/>
              </w:rPr>
              <w:t>1套</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rPr>
              <w:t>1.支持边缘算力的管理和调度，包括融合超脑、AI超脑、AI相机、行业智能分析服务器等。</w:t>
            </w:r>
          </w:p>
          <w:p>
            <w:pPr>
              <w:pStyle w:val="null3"/>
              <w:jc w:val="left"/>
            </w:pPr>
            <w:r>
              <w:rPr>
                <w:rFonts w:ascii="仿宋_GB2312" w:hAnsi="仿宋_GB2312" w:cs="仿宋_GB2312" w:eastAsia="仿宋_GB2312"/>
                <w:sz w:val="20"/>
              </w:rPr>
              <w:t>2.支持AI模型管理、AI模型下发、AI模型自动更新，AI模型包括检测、分类、混合、OCR、图像比对、语义分割等。</w:t>
            </w:r>
          </w:p>
          <w:p>
            <w:pPr>
              <w:pStyle w:val="null3"/>
              <w:jc w:val="left"/>
            </w:pPr>
            <w:r>
              <w:rPr>
                <w:rFonts w:ascii="仿宋_GB2312" w:hAnsi="仿宋_GB2312" w:cs="仿宋_GB2312" w:eastAsia="仿宋_GB2312"/>
                <w:sz w:val="20"/>
              </w:rPr>
              <w:t>3.支持边缘通用算法的下发和任务配置，包括人脸、人体、车辆、周界等。</w:t>
            </w:r>
          </w:p>
          <w:p>
            <w:pPr>
              <w:pStyle w:val="null3"/>
              <w:jc w:val="left"/>
            </w:pPr>
            <w:r>
              <w:rPr>
                <w:rFonts w:ascii="仿宋_GB2312" w:hAnsi="仿宋_GB2312" w:cs="仿宋_GB2312" w:eastAsia="仿宋_GB2312"/>
                <w:sz w:val="20"/>
              </w:rPr>
              <w:t>4.支持多种任务调度方式，图片抓拍分析、视频轮巡分析、离线图片流分析。</w:t>
            </w:r>
          </w:p>
          <w:p>
            <w:pPr>
              <w:pStyle w:val="null3"/>
              <w:jc w:val="left"/>
            </w:pPr>
            <w:r>
              <w:rPr>
                <w:rFonts w:ascii="仿宋_GB2312" w:hAnsi="仿宋_GB2312" w:cs="仿宋_GB2312" w:eastAsia="仿宋_GB2312"/>
                <w:sz w:val="20"/>
              </w:rPr>
              <w:t>5.支持各行业产品集成对接，满足云远1.6.x和域见1.5.x以上构架版本的业务产品碎片化智能分析场景需求。</w:t>
            </w:r>
          </w:p>
          <w:p>
            <w:pPr>
              <w:pStyle w:val="null3"/>
              <w:jc w:val="left"/>
            </w:pPr>
            <w:r>
              <w:rPr>
                <w:rFonts w:ascii="仿宋_GB2312" w:hAnsi="仿宋_GB2312" w:cs="仿宋_GB2312" w:eastAsia="仿宋_GB2312"/>
                <w:sz w:val="20"/>
              </w:rPr>
              <w:t>6.支持视频点位动态调度分析，非超脑接入视频点位动态绑定超脑分析。</w:t>
            </w:r>
          </w:p>
          <w:p>
            <w:pPr>
              <w:pStyle w:val="null3"/>
              <w:jc w:val="left"/>
            </w:pPr>
            <w:r>
              <w:rPr>
                <w:rFonts w:ascii="仿宋_GB2312" w:hAnsi="仿宋_GB2312" w:cs="仿宋_GB2312" w:eastAsia="仿宋_GB2312"/>
                <w:sz w:val="20"/>
              </w:rPr>
              <w:t>7.支持AI模型事件码管理，根据业务需求自定义事件码信息。</w:t>
            </w:r>
          </w:p>
          <w:p>
            <w:pPr>
              <w:pStyle w:val="null3"/>
              <w:jc w:val="left"/>
            </w:pPr>
            <w:r>
              <w:rPr>
                <w:rFonts w:ascii="仿宋_GB2312" w:hAnsi="仿宋_GB2312" w:cs="仿宋_GB2312" w:eastAsia="仿宋_GB2312"/>
                <w:sz w:val="20"/>
              </w:rPr>
              <w:t>8.支持AI边缘授权文件管理。</w:t>
            </w:r>
          </w:p>
          <w:p>
            <w:pPr>
              <w:pStyle w:val="null3"/>
              <w:jc w:val="left"/>
            </w:pPr>
            <w:r>
              <w:rPr>
                <w:rFonts w:ascii="仿宋_GB2312" w:hAnsi="仿宋_GB2312" w:cs="仿宋_GB2312" w:eastAsia="仿宋_GB2312"/>
                <w:sz w:val="20"/>
              </w:rPr>
              <w:t>9.支持云边融合调度，与智能任务调度组件协作完成中心端与边缘端任务统一调度。</w:t>
            </w:r>
          </w:p>
          <w:p>
            <w:pPr>
              <w:pStyle w:val="null3"/>
              <w:jc w:val="both"/>
            </w:pPr>
            <w:r>
              <w:rPr>
                <w:rFonts w:ascii="仿宋_GB2312" w:hAnsi="仿宋_GB2312" w:cs="仿宋_GB2312" w:eastAsia="仿宋_GB2312"/>
                <w:sz w:val="20"/>
              </w:rPr>
              <w:t>10.支持预案配置，对设备提前配置分析任务模板，为上层应用提供便捷的任务分析功能。</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sz w:val="20"/>
                <w:b/>
              </w:rPr>
              <w:t>21.视频管理服务（含设备网络管理）</w:t>
            </w:r>
            <w:r>
              <w:rPr>
                <w:rFonts w:ascii="仿宋_GB2312" w:hAnsi="仿宋_GB2312" w:cs="仿宋_GB2312" w:eastAsia="仿宋_GB2312"/>
                <w:sz w:val="20"/>
                <w:b/>
              </w:rPr>
              <w:t>（</w:t>
            </w:r>
            <w:r>
              <w:rPr>
                <w:rFonts w:ascii="仿宋_GB2312" w:hAnsi="仿宋_GB2312" w:cs="仿宋_GB2312" w:eastAsia="仿宋_GB2312"/>
                <w:sz w:val="20"/>
                <w:b/>
              </w:rPr>
              <w:t>1套</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应用提供视频管理服务，支持编码设备接入平台，实现视频预览、录像回放、视频上墙、视频事件监控服务能力，并且在网络带宽不足、有流量限制的网络环境下可以通过以图片替代视频的模式提供监控服务。（按照硬件资源评估，已包含最多支持6000路授权）。</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20"/>
                <w:b/>
              </w:rPr>
              <w:t>22.</w:t>
            </w:r>
            <w:r>
              <w:rPr>
                <w:rFonts w:ascii="仿宋_GB2312" w:hAnsi="仿宋_GB2312" w:cs="仿宋_GB2312" w:eastAsia="仿宋_GB2312"/>
                <w:sz w:val="20"/>
                <w:b/>
              </w:rPr>
              <w:t>加油站智能识别算法（</w:t>
            </w:r>
            <w:r>
              <w:rPr>
                <w:rFonts w:ascii="仿宋_GB2312" w:hAnsi="仿宋_GB2312" w:cs="仿宋_GB2312" w:eastAsia="仿宋_GB2312"/>
                <w:sz w:val="20"/>
                <w:b/>
              </w:rPr>
              <w:t>1套</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对卸油区、加油岛内卸油位、加油位，加油站加油动作、加油车辆车牌识别，卸油区内人数识别、标准着装、加油站内抽烟、打电话、聚集等行为进行智能识别分析（按照硬件资源评估，已包含最多支持2000路授权）。</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0"/>
              </w:rPr>
              <w:t>23.</w:t>
            </w:r>
            <w:r>
              <w:rPr>
                <w:rFonts w:ascii="仿宋_GB2312" w:hAnsi="仿宋_GB2312" w:cs="仿宋_GB2312" w:eastAsia="仿宋_GB2312"/>
                <w:sz w:val="20"/>
                <w:b/>
              </w:rPr>
              <w:t>软件开发（1项）</w:t>
            </w:r>
          </w:p>
          <w:tbl>
            <w:tblPr>
              <w:tblBorders>
                <w:top w:val="none" w:color="000000" w:sz="4"/>
                <w:left w:val="none" w:color="000000" w:sz="4"/>
                <w:bottom w:val="none" w:color="000000" w:sz="4"/>
                <w:right w:val="none" w:color="000000" w:sz="4"/>
                <w:insideH w:val="none"/>
                <w:insideV w:val="none"/>
              </w:tblBorders>
            </w:tblPr>
            <w:tblGrid>
              <w:gridCol w:w="171"/>
              <w:gridCol w:w="198"/>
              <w:gridCol w:w="2178"/>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功能模块</w:t>
                  </w:r>
                </w:p>
              </w:tc>
              <w:tc>
                <w:tcPr>
                  <w:tcW w:type="dxa" w:w="2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功能描述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首页</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首页是整个系统的入口，目的是引导所访问的用户快速找到其所需功能，同时展示重要信息和操作功能。</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系统管理</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系统管理包括组织机构管理、角色、权限管理、人员管理。</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信息管理中心</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信息管理中心包含九大二级管理模块，主要包括加油站基本信息管理、加油机基本信息管理、加油枪管理、零管系统基本信息管理、液位仪网关信息、油罐基本信息、软件采集端监听信息、视频智能分析盒信息、加油机采集设备网关。需建立加油站档案信息，覆盖加油站全业务链的数据管理需求。各模块独立运行又相互关联，通过多条件查询、数据维护、规则规范三大核心功能，实现加油站设备、系统、网络等信息的统一管控。模块间通过数据关联与规范管理形成闭环，确保油站运营数据的准确性、实时性与可追溯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异常告警中心</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异常告警中心主要包括设备告警管理和异常数据告警。通过设备告警管理和异常数据告警两大维度实现全业务链异常监控。设备告警管理覆盖硬件设备运行状态监测，异常数据告警包含数据异常场景分析。模块间通过数据交互形成闭环管理，为加油站运营提供全方位异常预警支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数据采集中心</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采集中心负责整合多源数据，主要包括零管系统采集数据处理、软件采集端监听数据处理、加油机采集数据处理、液位仪网关采集数据查询、视频智能分析盒数据查询。零管系统采集数据处理聚焦加油站零售业务数据；集线器监听采集数据处理关注交易明细；加油机采集数据处理围绕加油机设备信息；液位仪网关采集数据处理针对油罐液位数据；视频智能分析盒数据处理处理车辆相关数据。各模块协同，确保数据完整准确，为后续业务提供有力支撑。</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数据分析中心</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分析中心主要包括交易明细数据分析、月度交易报表分析、企业注册信息分析、全局交易数据分析、辖区销售额统计分析、月度销售额统计分析、油品销售额统计分析、辖区销售量统计分析、月度销售量统计分析、油品销售量统计分析、油价数据分析、库存数据分析、油站数据环比分析、油品进销存分析、加油交易累计报表数据分析、综合交易数据分析、油罐出油数据分析、设备巡检数据分析。主要负责对加油站相关数据进行全方位处理。通过交易数据查询分析，挖掘交易规律；加油站信息查询获取基础信息；数据统计与报表生成提供各类报表；实时数据监测与分析掌握实时动态，为决策提供全面、精准的依据，助力加油站管理。</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数据监控中心</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监控中心汇聚并整合了加油站运营过程中产生的各类数据资源。主要包括总览数据监控、分布数据监控、交易量趋势监控、交易额趋势监控、区域交易量对比监控、区域交易额比对监控、油品交易量对比监控、油品交易额对比监控、实时交易数据监控、纳税趋势数据监控、油品销量占比监控、油价趋势数据监控。它如同一个智能中枢，将分散的数据进行集中处理，为二级模块的细分监控与深度分析提供坚实的数据基础，使管理者能够从宏观到微观，全方位掌握加油站的运营状况。</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数据比对中心</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比对与整合处理模块是数据比对工作的基础。主要包括数据比对与整合处理、数据比对结果分析与报表输出、数据比对可视化展示、视频监控数据管理。该模块先对不同来源和类型的数据进行收集整理，使其有序化，为后续比对做准备。然后从多个维度对数据进行比对分析，并处理数据中的异常值，保证数据比对结果的准确性和可靠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税收监管中心</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税收监管中心旨在构建全方位税务风险监控体系，主要包括发现风险监管、申报风险监管、进销数据监管、数据采集与监测、统计分析与决策支持、风险预警与发现。发票风险监管聚焦发票开具环节潜在风险；申报风险监管审查企业纳税申报数据；进销数据监管把控企业进销数据异常；数据采集与监测为监管提供数据支撑；统计分析与决策支持助力税务决策；风险预警与处置及时应对各类税务风险，保障税收征管工作的顺利开展。</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综合运维中心</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运维中心主要包括工单管理、投诉管理、知识库管理、运维中心、设备生命周期管理、人员与资源管理、工单任务处理、链路费过期预警等，其中工单管理、工单任务处理需满足移动端，移动端与PC端进行数据同步。为用户提供便捷的运维服务入口，用户可通过该模块提交故障申报、跟踪工单进度，模块会对需求进行分类处理并跟踪解决进度，确保用户问题得到及时响应和妥善处理，提升用户对运维服务的满意度。</w:t>
                  </w:r>
                </w:p>
              </w:tc>
            </w:tr>
          </w:tbl>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0"/>
                <w:b/>
              </w:rPr>
              <w:t>24.</w:t>
            </w:r>
            <w:r>
              <w:rPr>
                <w:rFonts w:ascii="仿宋_GB2312" w:hAnsi="仿宋_GB2312" w:cs="仿宋_GB2312" w:eastAsia="仿宋_GB2312"/>
                <w:sz w:val="20"/>
                <w:b/>
              </w:rPr>
              <w:t>外部系统对接</w:t>
            </w:r>
            <w:r>
              <w:rPr>
                <w:rFonts w:ascii="仿宋_GB2312" w:hAnsi="仿宋_GB2312" w:cs="仿宋_GB2312" w:eastAsia="仿宋_GB2312"/>
                <w:sz w:val="20"/>
                <w:b/>
              </w:rPr>
              <w:t>（1项）</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0"/>
                <w:b/>
              </w:rPr>
              <w:t>25.系统集成</w:t>
            </w:r>
            <w:r>
              <w:rPr>
                <w:rFonts w:ascii="仿宋_GB2312" w:hAnsi="仿宋_GB2312" w:cs="仿宋_GB2312" w:eastAsia="仿宋_GB2312"/>
                <w:sz w:val="20"/>
                <w:b/>
              </w:rPr>
              <w:t>（1项）</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0"/>
                <w:b/>
              </w:rPr>
              <w:t>26.链路费（三年）</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0"/>
                <w:b/>
              </w:rPr>
              <w:t>27.运维期（三年）（终验合格之日起算）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标的名称：渭南市成品油综合服务智慧监管平台项目监理服务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1.</w:t>
            </w:r>
            <w:r>
              <w:rPr>
                <w:rFonts w:ascii="仿宋_GB2312" w:hAnsi="仿宋_GB2312" w:cs="仿宋_GB2312" w:eastAsia="仿宋_GB2312"/>
                <w:sz w:val="20"/>
                <w:b/>
              </w:rPr>
              <w:t>服务内容</w:t>
            </w:r>
          </w:p>
          <w:p>
            <w:pPr>
              <w:pStyle w:val="null3"/>
              <w:jc w:val="left"/>
            </w:pPr>
            <w:r>
              <w:rPr>
                <w:rFonts w:ascii="仿宋_GB2312" w:hAnsi="仿宋_GB2312" w:cs="仿宋_GB2312" w:eastAsia="仿宋_GB2312"/>
                <w:sz w:val="20"/>
              </w:rPr>
              <w:t>项目监理单位在本项目中主要承担的工作主要包括：</w:t>
            </w:r>
          </w:p>
          <w:p>
            <w:pPr>
              <w:pStyle w:val="null3"/>
              <w:jc w:val="left"/>
            </w:pPr>
            <w:r>
              <w:rPr>
                <w:rFonts w:ascii="仿宋_GB2312" w:hAnsi="仿宋_GB2312" w:cs="仿宋_GB2312" w:eastAsia="仿宋_GB2312"/>
                <w:sz w:val="20"/>
              </w:rPr>
              <w:t>（1）项目实施过程中涉及的项目开工、实施、集成、应用开发、系统测试、初步验收、试运行、第三方测试、竣工验收和移交、培训等各个阶段进行全程的监理服务，配合审计单位对项目提供初步验收、竣工验收、资金支付、资产移交等各个环节进行项目审计服务，实现项目实施过程中的质量把控、进度把控、投资管控、变更控制，参与项目建设各方关系的协调及审计等环节相关工作，配合采购人完成建设目标。在项目服务期内，协助采购人处理项目相关工作，全程跟踪承建单位的实施质量、督促整改。</w:t>
            </w:r>
          </w:p>
          <w:p>
            <w:pPr>
              <w:pStyle w:val="null3"/>
              <w:jc w:val="left"/>
            </w:pPr>
            <w:r>
              <w:rPr>
                <w:rFonts w:ascii="仿宋_GB2312" w:hAnsi="仿宋_GB2312" w:cs="仿宋_GB2312" w:eastAsia="仿宋_GB2312"/>
                <w:sz w:val="20"/>
              </w:rPr>
              <w:t>（2）按</w:t>
            </w:r>
            <w:r>
              <w:rPr>
                <w:rFonts w:ascii="仿宋_GB2312" w:hAnsi="仿宋_GB2312" w:cs="仿宋_GB2312" w:eastAsia="仿宋_GB2312"/>
                <w:sz w:val="20"/>
              </w:rPr>
              <w:t>采购人</w:t>
            </w:r>
            <w:r>
              <w:rPr>
                <w:rFonts w:ascii="仿宋_GB2312" w:hAnsi="仿宋_GB2312" w:cs="仿宋_GB2312" w:eastAsia="仿宋_GB2312"/>
                <w:sz w:val="20"/>
              </w:rPr>
              <w:t>要求，制定项目管理任务书对项目实施过程进行监督、管理，以保证项目在质量、费用和进度等方面满足要求。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及时向</w:t>
            </w:r>
            <w:r>
              <w:rPr>
                <w:rFonts w:ascii="仿宋_GB2312" w:hAnsi="仿宋_GB2312" w:cs="仿宋_GB2312" w:eastAsia="仿宋_GB2312"/>
                <w:sz w:val="20"/>
              </w:rPr>
              <w:t>采购人</w:t>
            </w:r>
            <w:r>
              <w:rPr>
                <w:rFonts w:ascii="仿宋_GB2312" w:hAnsi="仿宋_GB2312" w:cs="仿宋_GB2312" w:eastAsia="仿宋_GB2312"/>
                <w:sz w:val="20"/>
              </w:rPr>
              <w:t>报告项目的有关进度、质量及费用等方面的情况，对项目中存在设计缺陷的，及时发起项目变更。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协助</w:t>
            </w:r>
            <w:r>
              <w:rPr>
                <w:rFonts w:ascii="仿宋_GB2312" w:hAnsi="仿宋_GB2312" w:cs="仿宋_GB2312" w:eastAsia="仿宋_GB2312"/>
                <w:sz w:val="20"/>
              </w:rPr>
              <w:t>采购人</w:t>
            </w:r>
            <w:r>
              <w:rPr>
                <w:rFonts w:ascii="仿宋_GB2312" w:hAnsi="仿宋_GB2312" w:cs="仿宋_GB2312" w:eastAsia="仿宋_GB2312"/>
                <w:sz w:val="20"/>
              </w:rPr>
              <w:t>对项目实施过程中的有关问题进行协调处理。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配合做好人员培训、操作规程和规章制度的建立等准备工作。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配合</w:t>
            </w:r>
            <w:r>
              <w:rPr>
                <w:rFonts w:ascii="仿宋_GB2312" w:hAnsi="仿宋_GB2312" w:cs="仿宋_GB2312" w:eastAsia="仿宋_GB2312"/>
                <w:sz w:val="20"/>
              </w:rPr>
              <w:t>采购人</w:t>
            </w:r>
            <w:r>
              <w:rPr>
                <w:rFonts w:ascii="仿宋_GB2312" w:hAnsi="仿宋_GB2312" w:cs="仿宋_GB2312" w:eastAsia="仿宋_GB2312"/>
                <w:sz w:val="20"/>
              </w:rPr>
              <w:t>做好项目竣工验收前的准备工作。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b/>
              </w:rPr>
              <w:t>2.监理</w:t>
            </w:r>
            <w:r>
              <w:rPr>
                <w:rFonts w:ascii="仿宋_GB2312" w:hAnsi="仿宋_GB2312" w:cs="仿宋_GB2312" w:eastAsia="仿宋_GB2312"/>
                <w:sz w:val="20"/>
                <w:b/>
              </w:rPr>
              <w:t>服务</w:t>
            </w:r>
            <w:r>
              <w:rPr>
                <w:rFonts w:ascii="仿宋_GB2312" w:hAnsi="仿宋_GB2312" w:cs="仿宋_GB2312" w:eastAsia="仿宋_GB2312"/>
                <w:sz w:val="20"/>
                <w:b/>
              </w:rPr>
              <w:t>整体</w:t>
            </w:r>
            <w:r>
              <w:rPr>
                <w:rFonts w:ascii="仿宋_GB2312" w:hAnsi="仿宋_GB2312" w:cs="仿宋_GB2312" w:eastAsia="仿宋_GB2312"/>
                <w:sz w:val="20"/>
                <w:b/>
              </w:rPr>
              <w:t>目标</w:t>
            </w:r>
          </w:p>
          <w:p>
            <w:pPr>
              <w:pStyle w:val="null3"/>
              <w:jc w:val="both"/>
            </w:pPr>
            <w:r>
              <w:rPr>
                <w:rFonts w:ascii="仿宋_GB2312" w:hAnsi="仿宋_GB2312" w:cs="仿宋_GB2312" w:eastAsia="仿宋_GB2312"/>
                <w:sz w:val="20"/>
              </w:rPr>
              <w:t>本项目监理服务的整体目标是：对项目服务过程的监督和管理，依照有关标准规范和法律法规以及建设单位的需求，本着科学、公正、严格、守信、守纪、守法的原则，以高度的责任心、丰富的项目管理和专业技术经验，对该项目服务过程全面的、有重点的、精线条的监督管理，包括受建设单位委托负责审核项目服务合同条款、服务计划进行实施，实施过程得到有效记录，定期提交监理服务报告，确保客户满意度。</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质量控制目标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）符合国家相关技术标准和规范要求。</w:t>
            </w:r>
          </w:p>
          <w:p>
            <w:pPr>
              <w:pStyle w:val="null3"/>
              <w:jc w:val="left"/>
            </w:pPr>
            <w:r>
              <w:rPr>
                <w:rFonts w:ascii="仿宋_GB2312" w:hAnsi="仿宋_GB2312" w:cs="仿宋_GB2312" w:eastAsia="仿宋_GB2312"/>
                <w:sz w:val="20"/>
              </w:rPr>
              <w:t>（2）符合本项目监理委托合同书要求。</w:t>
            </w:r>
          </w:p>
          <w:p>
            <w:pPr>
              <w:pStyle w:val="null3"/>
              <w:jc w:val="left"/>
            </w:pPr>
            <w:r>
              <w:rPr>
                <w:rFonts w:ascii="仿宋_GB2312" w:hAnsi="仿宋_GB2312" w:cs="仿宋_GB2312" w:eastAsia="仿宋_GB2312"/>
                <w:sz w:val="20"/>
              </w:rPr>
              <w:t>（3）项目服务质量满足建设单位、使用单位对项目系统安全管理的要求。</w:t>
            </w:r>
          </w:p>
          <w:p>
            <w:pPr>
              <w:pStyle w:val="null3"/>
              <w:jc w:val="left"/>
            </w:pPr>
            <w:r>
              <w:rPr>
                <w:rFonts w:ascii="仿宋_GB2312" w:hAnsi="仿宋_GB2312" w:cs="仿宋_GB2312" w:eastAsia="仿宋_GB2312"/>
                <w:sz w:val="20"/>
              </w:rPr>
              <w:t>（4）符合国家、陕西省、</w:t>
            </w:r>
            <w:r>
              <w:rPr>
                <w:rFonts w:ascii="仿宋_GB2312" w:hAnsi="仿宋_GB2312" w:cs="仿宋_GB2312" w:eastAsia="仿宋_GB2312"/>
                <w:sz w:val="20"/>
              </w:rPr>
              <w:t>渭南</w:t>
            </w:r>
            <w:r>
              <w:rPr>
                <w:rFonts w:ascii="仿宋_GB2312" w:hAnsi="仿宋_GB2312" w:cs="仿宋_GB2312" w:eastAsia="仿宋_GB2312"/>
                <w:sz w:val="20"/>
              </w:rPr>
              <w:t>市有关信息系统系统监理、信息技术服务</w:t>
            </w:r>
          </w:p>
          <w:p>
            <w:pPr>
              <w:pStyle w:val="null3"/>
              <w:jc w:val="left"/>
            </w:pPr>
            <w:r>
              <w:rPr>
                <w:rFonts w:ascii="仿宋_GB2312" w:hAnsi="仿宋_GB2312" w:cs="仿宋_GB2312" w:eastAsia="仿宋_GB2312"/>
                <w:sz w:val="20"/>
              </w:rPr>
              <w:t>的相关文件要求。</w:t>
            </w:r>
          </w:p>
          <w:p>
            <w:pPr>
              <w:pStyle w:val="null3"/>
              <w:jc w:val="left"/>
            </w:pPr>
            <w:r>
              <w:rPr>
                <w:rFonts w:ascii="仿宋_GB2312" w:hAnsi="仿宋_GB2312" w:cs="仿宋_GB2312" w:eastAsia="仿宋_GB2312"/>
                <w:sz w:val="20"/>
              </w:rPr>
              <w:t>GB/T19668.1-2014《信息技术服务监理第1部分：总则》</w:t>
            </w:r>
          </w:p>
          <w:p>
            <w:pPr>
              <w:pStyle w:val="null3"/>
              <w:jc w:val="left"/>
            </w:pPr>
            <w:r>
              <w:rPr>
                <w:rFonts w:ascii="仿宋_GB2312" w:hAnsi="仿宋_GB2312" w:cs="仿宋_GB2312" w:eastAsia="仿宋_GB2312"/>
                <w:sz w:val="20"/>
              </w:rPr>
              <w:t>GB/T19668.2-2017《信息技术服务监理第2 部分：基础设施工程监理规范》</w:t>
            </w:r>
          </w:p>
          <w:p>
            <w:pPr>
              <w:pStyle w:val="null3"/>
              <w:jc w:val="left"/>
            </w:pPr>
            <w:r>
              <w:rPr>
                <w:rFonts w:ascii="仿宋_GB2312" w:hAnsi="仿宋_GB2312" w:cs="仿宋_GB2312" w:eastAsia="仿宋_GB2312"/>
                <w:sz w:val="20"/>
              </w:rPr>
              <w:t>GB/T19668.3-2017《信息技术服务监理第 3 部分 ：运行维护监理规范》</w:t>
            </w:r>
          </w:p>
          <w:p>
            <w:pPr>
              <w:pStyle w:val="null3"/>
              <w:jc w:val="left"/>
            </w:pPr>
            <w:r>
              <w:rPr>
                <w:rFonts w:ascii="仿宋_GB2312" w:hAnsi="仿宋_GB2312" w:cs="仿宋_GB2312" w:eastAsia="仿宋_GB2312"/>
                <w:sz w:val="20"/>
              </w:rPr>
              <w:t>GB/T19668.4-2017《信息技术服务监理第 4 部分 ：信息安全监理规范》</w:t>
            </w:r>
          </w:p>
          <w:p>
            <w:pPr>
              <w:pStyle w:val="null3"/>
              <w:jc w:val="left"/>
            </w:pPr>
            <w:r>
              <w:rPr>
                <w:rFonts w:ascii="仿宋_GB2312" w:hAnsi="仿宋_GB2312" w:cs="仿宋_GB2312" w:eastAsia="仿宋_GB2312"/>
                <w:sz w:val="20"/>
              </w:rPr>
              <w:t>GB/T19668.5-2018《信息技术服务监理第 5 部分：软件工程监理规范》</w:t>
            </w:r>
          </w:p>
          <w:p>
            <w:pPr>
              <w:pStyle w:val="null3"/>
              <w:jc w:val="left"/>
            </w:pPr>
            <w:r>
              <w:rPr>
                <w:rFonts w:ascii="仿宋_GB2312" w:hAnsi="仿宋_GB2312" w:cs="仿宋_GB2312" w:eastAsia="仿宋_GB2312"/>
                <w:sz w:val="20"/>
              </w:rPr>
              <w:t>GB/T19668.6-2019《信息技术服务监理第 6 部分：应用系统：数据中心工程监理规范》</w:t>
            </w:r>
          </w:p>
          <w:p>
            <w:pPr>
              <w:pStyle w:val="null3"/>
              <w:jc w:val="left"/>
            </w:pPr>
            <w:r>
              <w:rPr>
                <w:rFonts w:ascii="仿宋_GB2312" w:hAnsi="仿宋_GB2312" w:cs="仿宋_GB2312" w:eastAsia="仿宋_GB2312"/>
                <w:sz w:val="20"/>
              </w:rPr>
              <w:t>GB/T19668.7-2022《信息技术服务监理第 7 部分：监理工作量度量要求》</w:t>
            </w:r>
          </w:p>
          <w:p>
            <w:pPr>
              <w:pStyle w:val="null3"/>
              <w:jc w:val="left"/>
            </w:pPr>
            <w:r>
              <w:rPr>
                <w:rFonts w:ascii="仿宋_GB2312" w:hAnsi="仿宋_GB2312" w:cs="仿宋_GB2312" w:eastAsia="仿宋_GB2312"/>
                <w:sz w:val="20"/>
              </w:rPr>
              <w:t>（5）符合项目交付的质量标准的质量要求。</w:t>
            </w:r>
          </w:p>
          <w:p>
            <w:pPr>
              <w:pStyle w:val="null3"/>
              <w:jc w:val="left"/>
            </w:pPr>
            <w:r>
              <w:rPr>
                <w:rFonts w:ascii="仿宋_GB2312" w:hAnsi="仿宋_GB2312" w:cs="仿宋_GB2312" w:eastAsia="仿宋_GB2312"/>
                <w:sz w:val="20"/>
              </w:rPr>
              <w:t>（6）监理服务质量符合项目招标文件的要求及中标单位投标文件的承诺。</w:t>
            </w:r>
          </w:p>
          <w:p>
            <w:pPr>
              <w:pStyle w:val="null3"/>
              <w:jc w:val="both"/>
            </w:pPr>
            <w:r>
              <w:rPr>
                <w:rFonts w:ascii="仿宋_GB2312" w:hAnsi="仿宋_GB2312" w:cs="仿宋_GB2312" w:eastAsia="仿宋_GB2312"/>
                <w:sz w:val="20"/>
              </w:rPr>
              <w:t>（7）通过服务人员的质量活动，确保质量保证计划的有效实施。按照服务规范交付约定的服务。根据服务计划进行实施，实施过程得到有效记录，定期提交服务报告。定期对现行的各项管理制度、流程进行适用性评估，以考核为依据提出整体服务体系评估意见及完善建议。对不符合的行为进行改进并总结分析，确保改进措施得到有效实施。对于重大服务质量问题，编制专项报告；对于质量、安全工作，要接受建设单位的检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进度控制目标</w:t>
            </w:r>
          </w:p>
          <w:p>
            <w:pPr>
              <w:pStyle w:val="null3"/>
              <w:jc w:val="both"/>
            </w:pPr>
            <w:r>
              <w:rPr>
                <w:rFonts w:ascii="仿宋_GB2312" w:hAnsi="仿宋_GB2312" w:cs="仿宋_GB2312" w:eastAsia="仿宋_GB2312"/>
                <w:sz w:val="20"/>
              </w:rPr>
              <w:t>保证项目在合同书约定的服务期内完成服务计划进行实施，并顺利通过各阶段交付验收。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投资控制目标</w:t>
            </w:r>
          </w:p>
          <w:p>
            <w:pPr>
              <w:pStyle w:val="null3"/>
              <w:jc w:val="both"/>
            </w:pPr>
            <w:r>
              <w:rPr>
                <w:rFonts w:ascii="仿宋_GB2312" w:hAnsi="仿宋_GB2312" w:cs="仿宋_GB2312" w:eastAsia="仿宋_GB2312"/>
                <w:sz w:val="20"/>
              </w:rPr>
              <w:t>以项目合同文件为依据，以合同总金额为投资控制目标，保证项目投资金额在相关法律、政策规范要求的范围内，保证项目投资的有效性。</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0"/>
                <w:b/>
              </w:rPr>
              <w:t>6.</w:t>
            </w:r>
            <w:r>
              <w:rPr>
                <w:rFonts w:ascii="仿宋_GB2312" w:hAnsi="仿宋_GB2312" w:cs="仿宋_GB2312" w:eastAsia="仿宋_GB2312"/>
                <w:sz w:val="20"/>
                <w:b/>
              </w:rPr>
              <w:t>信息安全控制目标</w:t>
            </w:r>
          </w:p>
          <w:p>
            <w:pPr>
              <w:pStyle w:val="null3"/>
              <w:jc w:val="left"/>
            </w:pPr>
            <w:r>
              <w:rPr>
                <w:rFonts w:ascii="仿宋_GB2312" w:hAnsi="仿宋_GB2312" w:cs="仿宋_GB2312" w:eastAsia="仿宋_GB2312"/>
                <w:sz w:val="20"/>
              </w:rPr>
              <w:t>信息安全符合GB17859-1999《计算机信息系统安全保护等级划分准则》、GB/T22239-2019《信息安全技术—网络安全等级保护基本要求》等与信息安全有关标准的要求；满足平台的安全要求，满足合同要求和用户使用需求。</w:t>
            </w:r>
          </w:p>
          <w:p>
            <w:pPr>
              <w:pStyle w:val="null3"/>
              <w:jc w:val="left"/>
            </w:pPr>
            <w:r>
              <w:rPr>
                <w:rFonts w:ascii="仿宋_GB2312" w:hAnsi="仿宋_GB2312" w:cs="仿宋_GB2312" w:eastAsia="仿宋_GB2312"/>
                <w:sz w:val="20"/>
              </w:rPr>
              <w:t>（1）信息安全服务监理过程中，保证信息系统的安全在可用性、保密性、完整性与信息系统的可维护性技术环节上没有冲突；</w:t>
            </w:r>
          </w:p>
          <w:p>
            <w:pPr>
              <w:pStyle w:val="null3"/>
              <w:jc w:val="left"/>
            </w:pPr>
            <w:r>
              <w:rPr>
                <w:rFonts w:ascii="仿宋_GB2312" w:hAnsi="仿宋_GB2312" w:cs="仿宋_GB2312" w:eastAsia="仿宋_GB2312"/>
                <w:sz w:val="20"/>
              </w:rPr>
              <w:t>（2）督促服务的信息安全服务人员在安全管理制度和安全规范下严格执行安全操作和管理，建立安全意识；</w:t>
            </w:r>
          </w:p>
          <w:p>
            <w:pPr>
              <w:pStyle w:val="null3"/>
              <w:jc w:val="both"/>
            </w:pPr>
            <w:r>
              <w:rPr>
                <w:rFonts w:ascii="仿宋_GB2312" w:hAnsi="仿宋_GB2312" w:cs="仿宋_GB2312" w:eastAsia="仿宋_GB2312"/>
                <w:sz w:val="20"/>
              </w:rPr>
              <w:t>（3）检查供应商是否存在设计过程中的安全隐患行为或现象等，确保整个服务监理过程中的安全实施和安全应用。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知识产权保护控制目标</w:t>
            </w:r>
          </w:p>
          <w:p>
            <w:pPr>
              <w:pStyle w:val="null3"/>
              <w:jc w:val="both"/>
            </w:pPr>
            <w:r>
              <w:rPr>
                <w:rFonts w:ascii="仿宋_GB2312" w:hAnsi="仿宋_GB2312" w:cs="仿宋_GB2312" w:eastAsia="仿宋_GB2312"/>
                <w:sz w:val="20"/>
              </w:rPr>
              <w:t>符合国家相关知识产权保护规定和法律。同时保证建设单位、服务单位、监理方和设备/软件原厂商各方资料和产品的知识产权不受侵害。</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0"/>
                <w:b/>
              </w:rPr>
              <w:t>8.</w:t>
            </w:r>
            <w:r>
              <w:rPr>
                <w:rFonts w:ascii="仿宋_GB2312" w:hAnsi="仿宋_GB2312" w:cs="仿宋_GB2312" w:eastAsia="仿宋_GB2312"/>
                <w:sz w:val="20"/>
                <w:b/>
              </w:rPr>
              <w:t>信息文档管理目标</w:t>
            </w:r>
          </w:p>
          <w:p>
            <w:pPr>
              <w:pStyle w:val="null3"/>
              <w:jc w:val="both"/>
            </w:pPr>
            <w:r>
              <w:rPr>
                <w:rFonts w:ascii="仿宋_GB2312" w:hAnsi="仿宋_GB2312" w:cs="仿宋_GB2312" w:eastAsia="仿宋_GB2312"/>
                <w:sz w:val="20"/>
              </w:rPr>
              <w:t>建立安全服务管理体系，在服务的各个阶段，对所产生的、面向安全管理业务进行收集、传输、加工、储存、维护、使用和整理；协助服务单位建立文档管理制度，接收服务过程资料，对资料进行归整、保管和使用。</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0"/>
                <w:b/>
              </w:rPr>
              <w:t>9.</w:t>
            </w:r>
            <w:r>
              <w:rPr>
                <w:rFonts w:ascii="仿宋_GB2312" w:hAnsi="仿宋_GB2312" w:cs="仿宋_GB2312" w:eastAsia="仿宋_GB2312"/>
                <w:sz w:val="20"/>
                <w:b/>
              </w:rPr>
              <w:t>合同管理目标</w:t>
            </w:r>
          </w:p>
          <w:p>
            <w:pPr>
              <w:pStyle w:val="null3"/>
              <w:jc w:val="both"/>
            </w:pPr>
            <w:r>
              <w:rPr>
                <w:rFonts w:ascii="仿宋_GB2312" w:hAnsi="仿宋_GB2312" w:cs="仿宋_GB2312" w:eastAsia="仿宋_GB2312"/>
                <w:sz w:val="20"/>
              </w:rPr>
              <w:t>拟定安全服务的合同管理制度，其中应包括合同草案的拟定、会签、协商、修改、审批、签署、保管等工作制度及流程；协助用户拟定安全服务合同的各类条款，参与用户和服务单位的谈判活动；及时分析合同的执行情况，并进行跟踪管理；协助用户与服务单位的有关索赔的有关索赔及合同纠纷事宜，以及实现项目合同规定的质量目标、进度目标和投资目标。</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0"/>
                <w:b/>
              </w:rPr>
              <w:t>10.</w:t>
            </w:r>
            <w:r>
              <w:rPr>
                <w:rFonts w:ascii="仿宋_GB2312" w:hAnsi="仿宋_GB2312" w:cs="仿宋_GB2312" w:eastAsia="仿宋_GB2312"/>
                <w:sz w:val="20"/>
                <w:b/>
              </w:rPr>
              <w:t>组织协调目标</w:t>
            </w:r>
          </w:p>
          <w:p>
            <w:pPr>
              <w:pStyle w:val="null3"/>
              <w:jc w:val="both"/>
            </w:pPr>
            <w:r>
              <w:rPr>
                <w:rFonts w:ascii="仿宋_GB2312" w:hAnsi="仿宋_GB2312" w:cs="仿宋_GB2312" w:eastAsia="仿宋_GB2312"/>
                <w:sz w:val="20"/>
              </w:rPr>
              <w:t>认真履行建设单位、使用单位及服务单位等各方关系，通过例会、报告等制度，通过各种监理方法使本项目顺利、高效进行，保证各相关方的良好沟通和无缝衔接，保证项目相关信息传递的及时性和有效性。</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0"/>
                <w:b/>
              </w:rPr>
              <w:t>11.</w:t>
            </w:r>
            <w:r>
              <w:rPr>
                <w:rFonts w:ascii="仿宋_GB2312" w:hAnsi="仿宋_GB2312" w:cs="仿宋_GB2312" w:eastAsia="仿宋_GB2312"/>
                <w:sz w:val="20"/>
                <w:b/>
              </w:rPr>
              <w:t>变更控制目标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协助采购人对服务单位进行绩效考核与能力管理。协助采购人对服务单位进行绩效考核工作，制定绩效考核管理办法，明确绩效考核内容（日常管理考核、服务考核文档审查、合同执行情况考核、采购人满意度），确定考核执行的组织结构，根据考核方法（日常考核、过程考核和事后考核），制定绩效考核指标，并根据绩效考核流程进行绩效考核评分，开展季度绩效考核的评价。</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）协助采购人对服务单位及人员进行能力考核工作，主要包括：能力考察、服务管理过程。</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根据项目需求配置相应人员。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根据项目需求配置相应设施设备。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1.供应商需要提供合理的项目整体实施方案，能按照项目分解节点并可跟踪实施。确保按期交付使用。 2.系统业务功能建设模块要求完整、设计合理、科学。 3.项目文档（用户使用手册、维护手册、部署文档、实施过程资料等）完整准确。 4.应具有产品合格证、检测报告以及相应产品的检定证书和其他应具有的单证。 5.在质保期内，项目中涉及的系统软件免费升级，负责全部升级工作，以保证不影响系统的运行。如设备生产厂商对本项目所应用的部分设备的保修期规定超过上述期限的，则该部分设备应当按照生产厂商规定进行免费保修。质保期外，免费为采购人提供技术咨询服务，这其中包括：新技术咨询、配置调整、故障解决等。 6.对于其提供的软件系统拥有知识产权或已获得权利人的授权，本项目使用乙方提供的软件不会侵犯第三方的合法权益，否则乙方应当负责处理索赔或涉诉等各项事宜，造成甲方损失的，乙方还应当承担赔偿责任。 7.供应商应履行采购人保密义务。 8.提供针对本项目的培训计划方案，完成技术培训工作，并落实售后服务措施。 9.质保期三年（终验合格之日起算） 10.本项目未经采购人同意不容许分包。 11.软件开发产生的源代码所有权归采购人所有。 12.符合国家相关法律、法规及行业规范及采购要求。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1.合同终止或服务期结束后，应按照采购人要求，做好资料交接和工作衔接，保证项目业务连续性。 2.项目实施过程资料等完整准确。 3.供应商应履行采购人保密义务。 4.符合国家相关法律、法规及行业规范及采购要求。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90日历天内完成项目全部内容到达试运行，服务期3年。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监理服务项目合同签订之日起至项目验收通过之日止。监理周期与项目建设周期同步，随建设期的延长则相应的延长监理周期，其监理费用不做调整。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渭南市数据服务中心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渭南市数据服务中心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完成系统试运行前的用户培训工作，开始系统试运行及迭代完善工作，提出初步验收申请，采购人单位组织验收，满足设计要求，测试合格后，双方签署验收协议，完成初步验收，系统进入试运行阶段。 初验通过后，平台进入3个月试运行阶段，做好对系统的功能、性能、稳定性以及系统的运行效果等各项关键因素进行全面的监测与记录，对出现的问题及时处理并形成系统试运行记录。在试运行期满后组织做好试运行检验，根据检验和记录结果，写出系统试运行报告，做出系统试运行结论，并经甲乙双方签字确认。同时进行项目培训、文档整理等收尾工作。 在完成试运行工作内容后，提交全部相关文档、图纸、报告、代码，向验收小组提出系统最终验收（竣工验收）申请，终验通过后系统方可申请正式上线运行。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符合采购文件要求和现行国家标准、行业标准。验收前提交监理工作形成的所有文档。</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合同签订后，平台部署完成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项目内容全部完成初步验收合格后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终验合格之日起满一年后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项目内容全部完成最终验收合格后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中标供应商在中标结果公告发布后3个工作日内提供叁套纸质投标文件（经编标工具生成的文件直接打印并加盖公章），递交的纸质版文件内容确保与线上电子文件保持一致，不允许修改和补充。 该项目采购标的对应的中小企业划分标准所属行业为软件和信息技术服务行业。 软件和信息技术服务行业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1.1投标人应具备独立承担民事责任能力的法人、其他组织或自然人，提供合法有效的统一社会信用代码的营业执照副本或相关证明（自然人提供身份证复印件）； 1.2提供具有财务审计资质单位出具的2024年度的财务报告或投标文件提交截止时间前六个月内其基本账户银行出具的资信证明； 1.3提供投标文件提交截止时间前一年内任意一个月的社会保障资金缴存证明或社保机构开具的社会保险参保缴费情况证明； 1.4提供投标文件提交截止时间前一年内任意一个月的依法缴纳税收的相关证明，依法免税需提供相关证明材料； 1.5提供投标人参加政府采购活动前三年内经营活动中没有重大违法纪录的书面声明； 1.6提供具有履行合同所必需的设备和专业技术能力的声明。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1.1投标人应具备独立承担民事责任能力的法人、其他组织或自然人，提供合法有效的统一社会信用代码的营业执照副本或相关证明（自然人提供身份证复印件）； 1.2提供具有财务审计资质单位出具的2024年度的财务报告或投标文件提交截止时间前六个月内其基本账户银行出具的资信证明； 1.3提供投标文件提交截止时间前一年内任意一个月的社会保障资金缴存证明或社保机构开具的社会保险参保缴费情况证明； 1.4提供投标文件提交截止时间前一年内任意一个月的依法缴纳税收的相关证明，依法免税需提供相关证明材料； 1.5提供投标人参加政府采购活动前三年内经营活动中没有重大违法纪录的书面声明； 1.6提供具有履行合同所必需的设备和专业技术能力的声明。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投标人应提交的相关资格证明材料（2包）.docx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该法定代表人（或负责人）身份证明，并与营业执照上信息一致。法定代表人（或负责人）授权代表参加投标的，须出具法定代表人（或负责人）授权书及授权代表身份证明。</w:t>
            </w:r>
          </w:p>
        </w:tc>
        <w:tc>
          <w:tcPr>
            <w:tcW w:type="dxa" w:w="1661"/>
          </w:tcPr>
          <w:p>
            <w:pPr>
              <w:pStyle w:val="null3"/>
            </w:pPr>
            <w:r>
              <w:rPr>
                <w:rFonts w:ascii="仿宋_GB2312" w:hAnsi="仿宋_GB2312" w:cs="仿宋_GB2312" w:eastAsia="仿宋_GB2312"/>
              </w:rPr>
              <w:t>投标人应提交的相关资格证明材料（1包）.docx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出具投标保证金交纳凭证或担保机构出具的保函。</w:t>
            </w:r>
          </w:p>
        </w:tc>
        <w:tc>
          <w:tcPr>
            <w:tcW w:type="dxa" w:w="1661"/>
          </w:tcPr>
          <w:p>
            <w:pPr>
              <w:pStyle w:val="null3"/>
            </w:pPr>
            <w:r>
              <w:rPr>
                <w:rFonts w:ascii="仿宋_GB2312" w:hAnsi="仿宋_GB2312" w:cs="仿宋_GB2312" w:eastAsia="仿宋_GB2312"/>
              </w:rPr>
              <w:t>投标人应提交的相关资格证明材料（1包）.docx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1）单位负责人为同一人或者存在直接控股、管理关系的不同投标人不得参加同一合同项下的政府采购活动； 2）为本项目提供整体设计、规范编制或者项目管理、监理、检测等服务的投标人，不得再参加该合同包的采购活动。</w:t>
            </w:r>
          </w:p>
        </w:tc>
        <w:tc>
          <w:tcPr>
            <w:tcW w:type="dxa" w:w="1661"/>
          </w:tcPr>
          <w:p>
            <w:pPr>
              <w:pStyle w:val="null3"/>
            </w:pPr>
            <w:r>
              <w:rPr>
                <w:rFonts w:ascii="仿宋_GB2312" w:hAnsi="仿宋_GB2312" w:cs="仿宋_GB2312" w:eastAsia="仿宋_GB2312"/>
              </w:rPr>
              <w:t>投标人应提交的相关资格证明材料（1包）.docx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该法定代表人（或负责人）身份证明，并与营业执照上信息一致。法定代表人（或负责人）授权代表参加投标的，须出具法定代表人（或负责人）授权书及授权代表身份证明。</w:t>
            </w:r>
          </w:p>
        </w:tc>
        <w:tc>
          <w:tcPr>
            <w:tcW w:type="dxa" w:w="1661"/>
          </w:tcPr>
          <w:p>
            <w:pPr>
              <w:pStyle w:val="null3"/>
            </w:pPr>
            <w:r>
              <w:rPr>
                <w:rFonts w:ascii="仿宋_GB2312" w:hAnsi="仿宋_GB2312" w:cs="仿宋_GB2312" w:eastAsia="仿宋_GB2312"/>
              </w:rPr>
              <w:t>投标人应提交的相关资格证明材料（2包）.docx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投标人须具备合法有效的工程监理综合资质或通信工程监理甲级资质。</w:t>
            </w:r>
          </w:p>
        </w:tc>
        <w:tc>
          <w:tcPr>
            <w:tcW w:type="dxa" w:w="1661"/>
          </w:tcPr>
          <w:p>
            <w:pPr>
              <w:pStyle w:val="null3"/>
            </w:pPr>
            <w:r>
              <w:rPr>
                <w:rFonts w:ascii="仿宋_GB2312" w:hAnsi="仿宋_GB2312" w:cs="仿宋_GB2312" w:eastAsia="仿宋_GB2312"/>
              </w:rPr>
              <w:t>投标人应提交的相关资格证明材料（2包）.docx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投标人应提交的相关资格证明材料（2包）.docx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出具投标保证金交纳凭证或担保机构出具的保函。</w:t>
            </w:r>
          </w:p>
        </w:tc>
        <w:tc>
          <w:tcPr>
            <w:tcW w:type="dxa" w:w="1661"/>
          </w:tcPr>
          <w:p>
            <w:pPr>
              <w:pStyle w:val="null3"/>
            </w:pPr>
            <w:r>
              <w:rPr>
                <w:rFonts w:ascii="仿宋_GB2312" w:hAnsi="仿宋_GB2312" w:cs="仿宋_GB2312" w:eastAsia="仿宋_GB2312"/>
              </w:rPr>
              <w:t>投标人应提交的相关资格证明材料（2包）.docx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投标人不得存在下列情形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投标人应提交的相关资格证明材料（2包）.docx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本采购包专门面向中小企业采购，供应商应为中型、小型或微型企业（残疾人福利性企业及监狱企业视同为小型、微型企业），提供中小企业声明函。</w:t>
            </w:r>
          </w:p>
        </w:tc>
        <w:tc>
          <w:tcPr>
            <w:tcW w:type="dxa" w:w="1661"/>
          </w:tcPr>
          <w:p>
            <w:pPr>
              <w:pStyle w:val="null3"/>
            </w:pPr>
            <w:r>
              <w:rPr>
                <w:rFonts w:ascii="仿宋_GB2312" w:hAnsi="仿宋_GB2312" w:cs="仿宋_GB2312" w:eastAsia="仿宋_GB2312"/>
              </w:rPr>
              <w:t>中小企业声明函.docx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投标文件签字和盖章满足招标文件的要求</w:t>
            </w:r>
          </w:p>
        </w:tc>
        <w:tc>
          <w:tcPr>
            <w:tcW w:type="dxa" w:w="1661"/>
          </w:tcPr>
          <w:p>
            <w:pPr>
              <w:pStyle w:val="null3"/>
            </w:pPr>
            <w:r>
              <w:rPr>
                <w:rFonts w:ascii="仿宋_GB2312" w:hAnsi="仿宋_GB2312" w:cs="仿宋_GB2312" w:eastAsia="仿宋_GB2312"/>
              </w:rPr>
              <w:t>开标一览表 服务方案（1包）.docx 服务内容及服务邀请应答表 投标函 残疾人福利性单位声明函 中小企业声明函 标的清单 投标文件封面 投标人应提交的相关资格证明材料（1包）.docx 商务应答表（1包）.docx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投标有效期（90日历天）满足招标文件的要求</w:t>
            </w:r>
          </w:p>
        </w:tc>
        <w:tc>
          <w:tcPr>
            <w:tcW w:type="dxa" w:w="1661"/>
          </w:tcPr>
          <w:p>
            <w:pPr>
              <w:pStyle w:val="null3"/>
            </w:pPr>
            <w:r>
              <w:rPr>
                <w:rFonts w:ascii="仿宋_GB2312" w:hAnsi="仿宋_GB2312" w:cs="仿宋_GB2312" w:eastAsia="仿宋_GB2312"/>
              </w:rPr>
              <w:t>投标函 商务应答表（1包）.docx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投标人投标报价未出现选择性报价，未超出采购最高限价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w:t>
            </w:r>
          </w:p>
        </w:tc>
        <w:tc>
          <w:tcPr>
            <w:tcW w:type="dxa" w:w="3322"/>
          </w:tcPr>
          <w:p>
            <w:pPr>
              <w:pStyle w:val="null3"/>
            </w:pPr>
            <w:r>
              <w:rPr>
                <w:rFonts w:ascii="仿宋_GB2312" w:hAnsi="仿宋_GB2312" w:cs="仿宋_GB2312" w:eastAsia="仿宋_GB2312"/>
              </w:rPr>
              <w:t>合同履行期满足或优于采购要求</w:t>
            </w:r>
          </w:p>
        </w:tc>
        <w:tc>
          <w:tcPr>
            <w:tcW w:type="dxa" w:w="1661"/>
          </w:tcPr>
          <w:p>
            <w:pPr>
              <w:pStyle w:val="null3"/>
            </w:pPr>
            <w:r>
              <w:rPr>
                <w:rFonts w:ascii="仿宋_GB2312" w:hAnsi="仿宋_GB2312" w:cs="仿宋_GB2312" w:eastAsia="仿宋_GB2312"/>
              </w:rPr>
              <w:t>商务应答表（1包）.docx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投标文件中对合同草案条款未附加采购人难以接受的条件</w:t>
            </w:r>
          </w:p>
        </w:tc>
        <w:tc>
          <w:tcPr>
            <w:tcW w:type="dxa" w:w="1661"/>
          </w:tcPr>
          <w:p>
            <w:pPr>
              <w:pStyle w:val="null3"/>
            </w:pPr>
            <w:r>
              <w:rPr>
                <w:rFonts w:ascii="仿宋_GB2312" w:hAnsi="仿宋_GB2312" w:cs="仿宋_GB2312" w:eastAsia="仿宋_GB2312"/>
              </w:rPr>
              <w:t>商务应答表（1包）.docx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质量标准达到国家现行行业验收规范“合格”标准及招标文件第三章“招标项目技术、服务、商务及其他要求”</w:t>
            </w:r>
          </w:p>
        </w:tc>
        <w:tc>
          <w:tcPr>
            <w:tcW w:type="dxa" w:w="1661"/>
          </w:tcPr>
          <w:p>
            <w:pPr>
              <w:pStyle w:val="null3"/>
            </w:pPr>
            <w:r>
              <w:rPr>
                <w:rFonts w:ascii="仿宋_GB2312" w:hAnsi="仿宋_GB2312" w:cs="仿宋_GB2312" w:eastAsia="仿宋_GB2312"/>
              </w:rPr>
              <w:t>商务应答表（1包）.docx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投标人提供的货物(服务)无实质性遗漏</w:t>
            </w:r>
          </w:p>
        </w:tc>
        <w:tc>
          <w:tcPr>
            <w:tcW w:type="dxa" w:w="1661"/>
          </w:tcPr>
          <w:p>
            <w:pPr>
              <w:pStyle w:val="null3"/>
            </w:pPr>
            <w:r>
              <w:rPr>
                <w:rFonts w:ascii="仿宋_GB2312" w:hAnsi="仿宋_GB2312" w:cs="仿宋_GB2312" w:eastAsia="仿宋_GB2312"/>
              </w:rPr>
              <w:t>服务内容及服务邀请应答表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投标文件签字和盖章满足招标文件的要求</w:t>
            </w:r>
          </w:p>
        </w:tc>
        <w:tc>
          <w:tcPr>
            <w:tcW w:type="dxa" w:w="1661"/>
          </w:tcPr>
          <w:p>
            <w:pPr>
              <w:pStyle w:val="null3"/>
            </w:pPr>
            <w:r>
              <w:rPr>
                <w:rFonts w:ascii="仿宋_GB2312" w:hAnsi="仿宋_GB2312" w:cs="仿宋_GB2312" w:eastAsia="仿宋_GB2312"/>
              </w:rPr>
              <w:t>服务方案（2包）.docx 开标一览表 服务内容及服务邀请应答表 中小企业声明函.docx 投标函 残疾人福利性单位声明函 标的清单 商务应答表（2包）.docx 投标人应提交的相关资格证明材料（2包）.docx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投标有效期（90日历天）满足招标文件的要求</w:t>
            </w:r>
          </w:p>
        </w:tc>
        <w:tc>
          <w:tcPr>
            <w:tcW w:type="dxa" w:w="1661"/>
          </w:tcPr>
          <w:p>
            <w:pPr>
              <w:pStyle w:val="null3"/>
            </w:pPr>
            <w:r>
              <w:rPr>
                <w:rFonts w:ascii="仿宋_GB2312" w:hAnsi="仿宋_GB2312" w:cs="仿宋_GB2312" w:eastAsia="仿宋_GB2312"/>
              </w:rPr>
              <w:t>投标函 商务应答表（2包）.docx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投标人投标报价未出现选择性报价，未超出采购最高限价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w:t>
            </w:r>
          </w:p>
        </w:tc>
        <w:tc>
          <w:tcPr>
            <w:tcW w:type="dxa" w:w="3322"/>
          </w:tcPr>
          <w:p>
            <w:pPr>
              <w:pStyle w:val="null3"/>
            </w:pPr>
            <w:r>
              <w:rPr>
                <w:rFonts w:ascii="仿宋_GB2312" w:hAnsi="仿宋_GB2312" w:cs="仿宋_GB2312" w:eastAsia="仿宋_GB2312"/>
              </w:rPr>
              <w:t>合同履行期满足或优于采购要求</w:t>
            </w:r>
          </w:p>
        </w:tc>
        <w:tc>
          <w:tcPr>
            <w:tcW w:type="dxa" w:w="1661"/>
          </w:tcPr>
          <w:p>
            <w:pPr>
              <w:pStyle w:val="null3"/>
            </w:pPr>
            <w:r>
              <w:rPr>
                <w:rFonts w:ascii="仿宋_GB2312" w:hAnsi="仿宋_GB2312" w:cs="仿宋_GB2312" w:eastAsia="仿宋_GB2312"/>
              </w:rPr>
              <w:t>商务应答表（2包）.docx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投标文件中对合同草案条款未附加采购人难以接受的条件</w:t>
            </w:r>
          </w:p>
        </w:tc>
        <w:tc>
          <w:tcPr>
            <w:tcW w:type="dxa" w:w="1661"/>
          </w:tcPr>
          <w:p>
            <w:pPr>
              <w:pStyle w:val="null3"/>
            </w:pPr>
            <w:r>
              <w:rPr>
                <w:rFonts w:ascii="仿宋_GB2312" w:hAnsi="仿宋_GB2312" w:cs="仿宋_GB2312" w:eastAsia="仿宋_GB2312"/>
              </w:rPr>
              <w:t>商务应答表（2包）.docx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质量标准达到国家现行行业验收规范“合格”标准及招标文件第三章“招标项目技术、服务、商务及其他要求”</w:t>
            </w:r>
          </w:p>
        </w:tc>
        <w:tc>
          <w:tcPr>
            <w:tcW w:type="dxa" w:w="1661"/>
          </w:tcPr>
          <w:p>
            <w:pPr>
              <w:pStyle w:val="null3"/>
            </w:pPr>
            <w:r>
              <w:rPr>
                <w:rFonts w:ascii="仿宋_GB2312" w:hAnsi="仿宋_GB2312" w:cs="仿宋_GB2312" w:eastAsia="仿宋_GB2312"/>
              </w:rPr>
              <w:t>商务应答表（2包）.docx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投标人提供的货物(服务)无实质性遗漏</w:t>
            </w:r>
          </w:p>
        </w:tc>
        <w:tc>
          <w:tcPr>
            <w:tcW w:type="dxa" w:w="1661"/>
          </w:tcPr>
          <w:p>
            <w:pPr>
              <w:pStyle w:val="null3"/>
            </w:pPr>
            <w:r>
              <w:rPr>
                <w:rFonts w:ascii="仿宋_GB2312" w:hAnsi="仿宋_GB2312" w:cs="仿宋_GB2312" w:eastAsia="仿宋_GB2312"/>
              </w:rPr>
              <w:t>服务内容及服务邀请应答表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根据所提供的证明材料，配置和功能、技术指标和性能完全符合、响应招标文件要求，没有负偏离的得10分；带▲符号的技术参数为主要参数，每有一项负偏离扣1分,扣完为止。 注：投标人应根据技术要求提供佐证材料（不局限于检测报告、产品彩页、官网截图、系统截图、说明书等）以证明参数的技术响应性，投标人自负因佐证材料不全而造成技术参数响应负偏离的后果。</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产品资料</w:t>
            </w:r>
          </w:p>
        </w:tc>
        <w:tc>
          <w:tcPr>
            <w:tcW w:type="dxa" w:w="2492"/>
          </w:tcPr>
          <w:p>
            <w:pPr>
              <w:pStyle w:val="null3"/>
            </w:pPr>
            <w:r>
              <w:rPr>
                <w:rFonts w:ascii="仿宋_GB2312" w:hAnsi="仿宋_GB2312" w:cs="仿宋_GB2312" w:eastAsia="仿宋_GB2312"/>
              </w:rPr>
              <w:t>一、评审内容：产品相关资料：产品附有详细的产品技术资料（不限于产品来源渠道、产品说明书、用户手册、质量证明文件等）。 二、评审标准：提供资料齐全、合理，符合要求，得3分；内容存在缺陷扣0.5分；该项分值扣完为止，未提供不得分。 三、赋分说明：“缺陷”是指所提供材料与本项目实际要求不相符；体现不齐全或其他情形。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特点制定整体实施方案不限于：①备货、供货及保证措施方案；②工作流程、工作内容；③技术服务方案；④包装运输方案；⑤设备安装、检测方案；⑥安全实施保障方案；⑦系统试运行；⑧项目风险管理方案；⑨数据质量保证措施；⑩应急预案等。 二、评审标准：提供详细、合理、科学可行的方案，方案符合本项目采购需求有针对性，以上10项，以序号①、②、③、④、⑤、⑥、⑦、⑧、⑨、⑩为项数，内容无缺项、无漏项且无缺陷的得20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项目负责人具有计算机技术与软件专业技术资格，信息系统项目管理高级职称，得2分。 （需提供证书复印件加盖单位公章，同时需提供项目负责人近6个月交纳社会保险的凭据复印件加盖单位公章，社保缴纳单位必须与投标单位名称一致）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一、评审内容：提供针对本项目有完善的项目实施团队及组织管理方案，项目设有项目负责人及技术团队，人员分工合理，责任明确并拟定各岗位管理制度、工作职责等。 二、评审标准：提供详细、合理、科学可行的方案，方案符合本项目采购需求有针对性，得3分；内容存在缺陷扣0.5分；该项分值扣完为止，未提供不得分。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工作进度计划安排</w:t>
            </w:r>
          </w:p>
        </w:tc>
        <w:tc>
          <w:tcPr>
            <w:tcW w:type="dxa" w:w="2492"/>
          </w:tcPr>
          <w:p>
            <w:pPr>
              <w:pStyle w:val="null3"/>
            </w:pPr>
            <w:r>
              <w:rPr>
                <w:rFonts w:ascii="仿宋_GB2312" w:hAnsi="仿宋_GB2312" w:cs="仿宋_GB2312" w:eastAsia="仿宋_GB2312"/>
              </w:rPr>
              <w:t>一、评审内容：根据采购需求拟定的工作进度计划安排，工作计划合理、时间节点明确、保障措施科学。 二、评审标准：提供详细、合理、科学可行的方案，方案符合本项目采购需求有针对性，得2分；内容存在缺陷扣0.5分；该项分值扣完为止，未提供不得分。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一、评审内容：提供质量保证方案。包括但不限于①质量控制目标②质量保证措施等。 二、评审标准：提供详细、合理、科学可行的方案，方案符合本项目采购需求有针对性，以上2项，以序号①、②为项数，内容无缺项、无漏项且无缺陷的得4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对接方案</w:t>
            </w:r>
          </w:p>
        </w:tc>
        <w:tc>
          <w:tcPr>
            <w:tcW w:type="dxa" w:w="2492"/>
          </w:tcPr>
          <w:p>
            <w:pPr>
              <w:pStyle w:val="null3"/>
            </w:pPr>
            <w:r>
              <w:rPr>
                <w:rFonts w:ascii="仿宋_GB2312" w:hAnsi="仿宋_GB2312" w:cs="仿宋_GB2312" w:eastAsia="仿宋_GB2312"/>
              </w:rPr>
              <w:t>一、评审内容：提供系统无缝对接方案及承诺，确保设备、软硬件安全可靠，详细描述与原有系统详细对接方案，要求完全兼容原有系统，根据合理性及实际操作性。 二、评审标准：提供详细、合理、科学可行的方案，方案符合本项目采购需求有针对性，得3分；内容存在缺陷扣0.5分；该项分值扣完为止，未提供不得分。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售后服务及运维方案</w:t>
            </w:r>
          </w:p>
        </w:tc>
        <w:tc>
          <w:tcPr>
            <w:tcW w:type="dxa" w:w="2492"/>
          </w:tcPr>
          <w:p>
            <w:pPr>
              <w:pStyle w:val="null3"/>
            </w:pPr>
            <w:r>
              <w:rPr>
                <w:rFonts w:ascii="仿宋_GB2312" w:hAnsi="仿宋_GB2312" w:cs="仿宋_GB2312" w:eastAsia="仿宋_GB2312"/>
              </w:rPr>
              <w:t>一、评审内容：针对本项目特点提供完善的售后服务方案，不限于：①售后服务点的设定；②拟投入售后服务人员配置情况；③日常维护以及备品配件供应保障计划方案；④项目交付采购人后出现故障响应时间及措施；⑤明确质保期的时间，质保范围等。 二、评审标准：提供详细、合理、科学可行的方案，方案符合本项目采购需求有针对性，以上5项，以序号①、②、③、④、⑤为项数，内容无缺项、无漏项且无缺陷的得5分，其中每有一项内容存在缺项或漏项的扣1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一、评审内容：提供故障响应方案，内容不限于①故障识别和报告机制②故障分析和定位③故障恢复（含具体的故障恢复响应时间）④沟通反馈机制等； 二、评审标准：提供详细、合理、科学可行的方案，方案符合本项目采购需求有针对性，以上4项，以序号①、②、③、④、⑤为项数，内容无缺项、无漏项且无缺陷的得4分，其中每有一项内容存在缺项或漏项的扣1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一、评审内容：供应商须针对本项目和采购人实际需求提供培训方案。方案涵盖但不限于培训对象和内容、培训方式、培训日程安排。培训服务方案内容全面、安排合理，能完全满足本项目需要。 二、评审标准：提供详细、合理、科学可行的方案，方案符合本项目采购需求有针对性，得2分；内容存在缺陷扣0.5分；该项分值扣完为止，未提供不得分。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技术创新能力:投标人提供与本项目相关的软件著作权证书，提供得2分，不提供不得分。 信创适配能力:投标人所投产品所使用服务器、操作系统、数据库等支撑软件，均需适配信创环境，确保系统安全可靠运行，每提供一个适配证书得1分，满分得3分。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能够提供卸油区专用防爆摄像机、边缘计算终端、液位仪数据终端、加油机数据采集仪的厂家售后服务承诺，每提供一个得0.5分，满分2分。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业务应用系统展示</w:t>
            </w:r>
          </w:p>
        </w:tc>
        <w:tc>
          <w:tcPr>
            <w:tcW w:type="dxa" w:w="2492"/>
          </w:tcPr>
          <w:p>
            <w:pPr>
              <w:pStyle w:val="null3"/>
            </w:pPr>
            <w:r>
              <w:rPr>
                <w:rFonts w:ascii="仿宋_GB2312" w:hAnsi="仿宋_GB2312" w:cs="仿宋_GB2312" w:eastAsia="仿宋_GB2312"/>
              </w:rPr>
              <w:t>投标人针对项目核心功能项进行现场演示，详细演示内容如下： 1、演示成品油综合服务智慧监管平台中信息管理中心的功能项①加油站基本信息管理(包括加油站名称、统一社会信用代码、营业类型、营业状态、地址）；②加油机基本信息管理（包括站点名称、加油机型号、油枪数量、加油机状态、加油机生产厂家）；③液位仪网关管理（包括站点名称、液位仪编号、液位仪厂家、网关IP地址）；④油管基本信息管理（包括站点名称、液位仪网关编码、油品、当前温度、油管容积）；⑤加油站一户式查询（包括基本信息、设备信息、月度汇总分析、年度趋势分析）。演示全部功能计2分，存在1项功能缺失扣0.5分，扣完为止。 2、演示成品油综合服务智慧监管平台中税务监管中心的功能项①进销数据监管（包括进货数据监控、销货数据监控、异常风险分析）；②发票风险管理（包括发票开具行为监管、发票关联信息监管、预警风险分析）；③申报风险监管（包括申报数据完整性、申报数据合理性、风险分析）。演示全部功能计3分；存在1项功能缺失扣1分，扣完为止。 3、以某加油站设备发生故障为例，演示成品油综合服务智慧监管平台中综合运维中心的功能项①故障报修(包括设备类型、问题描述、故障类型、故障图片或视频、期望到场时间）、②工单受理（包括查看上报单位、工单来源、工单类型、紧急程度、故障处理方式）、③工单分派（包括选择维修人员、选择维修支持方案）、④维修人员接单（包括查看工单信息、联系客户确认到场时间、核验扫码签到）、⑤维修结果反馈（包括上传维修图片或视频、维修方案确认或修订）⑥工单评价（包括评价服务态度、到场速度、维修质量、投诉或建议）⑦工单回访（包括回访满地度调查、其他建议与反馈），分角色演示全部功能且流程连贯、符合流程设计计5分；分角色演示全部功能但业务流程无法贯穿计2分；否则不得分。 备注： ①业务应用需深刻理解实际业务需求，基于实际应用场景，演示系统要求尽量用可拟投入实际运行的系统进行演示。 ②以Demo、录屏等非在线形式进行演示的，按评分的二分之一计入总分，仅进行PPT、文字说明、口头说明或未演示的不得分。 ③各投标人演示时间不得超过20分钟，演示时由各投标人自行准备电脑、转接口等设备的正常运行，否则相关不利风险由投标人自行承担。 (投标人需在开标时间于渭南市公共资源交易中心（渭南市临渭区车雷街69号渭南市政务服务中心）西配楼1楼大厅等待演示)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类似项目业绩，每提供一项得1分，最高得5分。（提供合同复印件或中标（成交）通知书复印件加盖公章。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服务方案（1包）.docx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价格分采用低价优先法计算，即满足招标文件要求且投标报价最低的投标报价为评标基准价，其价格分为满分。其他投标人的价格分统一按照下列公式计算： 投标报价得分=（评标基准价/有效报价）×价格权值（20%）×100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报价明细表（1包）.docx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项目理解与认识</w:t>
            </w:r>
          </w:p>
        </w:tc>
        <w:tc>
          <w:tcPr>
            <w:tcW w:type="dxa" w:w="2492"/>
          </w:tcPr>
          <w:p>
            <w:pPr>
              <w:pStyle w:val="null3"/>
            </w:pPr>
            <w:r>
              <w:rPr>
                <w:rFonts w:ascii="仿宋_GB2312" w:hAnsi="仿宋_GB2312" w:cs="仿宋_GB2312" w:eastAsia="仿宋_GB2312"/>
              </w:rPr>
              <w:t>一、评审内容：对本项目的理解与重难点分析，包括不限于：①对项目的理解和认识；②项目重难点分析；③合理化建议等。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服务方案（2包）.docx</w:t>
            </w:r>
          </w:p>
        </w:tc>
      </w:tr>
      <w:tr>
        <w:tc>
          <w:tcPr>
            <w:tcW w:type="dxa" w:w="831"/>
            <w:vMerge/>
          </w:tcP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一、评审内容：针对本项目特点制定该项目监理大纲，不限于：①监理范围和服务内容；②监理工作程序、方法和制度；③监理机构设置、组成人员名单，监理人员岗位职责④质量、进度、投资、变更、安全文明施工控制措施；⑤合同、信息管理方案；⑥组织协调内容的具体程度、措施；⑦项目保密管理措施。 二、评审标准：提供详细、合理、科学可行的方案，方案符合本项目采购需求有针对性，以上7项，以序号①、②、③、④、⑤、⑥、⑦为项数，内容无缺项、无漏项且无缺陷的得28分，其中每有一项内容存在缺项或漏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服务方案（2包）.docx</w:t>
            </w:r>
          </w:p>
        </w:tc>
      </w:tr>
      <w:tr>
        <w:tc>
          <w:tcPr>
            <w:tcW w:type="dxa" w:w="831"/>
            <w:vMerge/>
          </w:tcPr>
          <w:p/>
        </w:tc>
        <w:tc>
          <w:tcPr>
            <w:tcW w:type="dxa" w:w="1661"/>
          </w:tcPr>
          <w:p>
            <w:pPr>
              <w:pStyle w:val="null3"/>
            </w:pPr>
            <w:r>
              <w:rPr>
                <w:rFonts w:ascii="仿宋_GB2312" w:hAnsi="仿宋_GB2312" w:cs="仿宋_GB2312" w:eastAsia="仿宋_GB2312"/>
              </w:rPr>
              <w:t>监理服务团队</w:t>
            </w:r>
          </w:p>
        </w:tc>
        <w:tc>
          <w:tcPr>
            <w:tcW w:type="dxa" w:w="2492"/>
          </w:tcPr>
          <w:p>
            <w:pPr>
              <w:pStyle w:val="null3"/>
            </w:pPr>
            <w:r>
              <w:rPr>
                <w:rFonts w:ascii="仿宋_GB2312" w:hAnsi="仿宋_GB2312" w:cs="仿宋_GB2312" w:eastAsia="仿宋_GB2312"/>
              </w:rPr>
              <w:t>1、总监具备住建部注册监理师资格证书（通信工程专业）、信息系统项目管理师证书、信息系统监理师、注册信息安全工程师（CISP）证书，每有一个证书得1分，最高得3分； 2、项目监理团队配备的其他监理人员不少于4人，均应具有信息系统监理师证书； 2.1同时项目监理团队监理人员中具有信息系统项目管理师证书、注册信息安全工程师（CISP），咨询工程师证书、注册造价工程师资格证书，每提供一个证书得1分，同一人不重复得分，最高得4分。 （以上证件需提供证书复印件加盖单位公章，同时需提供监理人员近1个月交纳社会保险的凭据复印件加盖单位公章，社保缴纳单位必须与投标单位名称一致）</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服务方案（2包）.docx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提供开展监理业务的平台系统（需提软件著作权证书），得2分；没有不得分。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服务方案（2包）.docx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投标人提供针对本项目的相关服务承诺，包括①监理服务期内，问题处理解决方案；②监理服务质量保证；③能按时按质完成，达到服务要求且能保证项目质量承诺；④提供驻场服务承诺；⑤接受采购人对服务的监督及管理的承诺等。 二、评审标准：提供详细、合理、科学可行的方案，方案符合本项目采购需求有针对性，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服务方案（2包）.docx</w:t>
            </w:r>
          </w:p>
        </w:tc>
      </w:tr>
      <w:tr>
        <w:tc>
          <w:tcPr>
            <w:tcW w:type="dxa" w:w="831"/>
            <w:vMerge/>
          </w:tcPr>
          <w:p/>
        </w:tc>
        <w:tc>
          <w:tcPr>
            <w:tcW w:type="dxa" w:w="1661"/>
          </w:tcPr>
          <w:p>
            <w:pPr>
              <w:pStyle w:val="null3"/>
            </w:pPr>
            <w:r>
              <w:rPr>
                <w:rFonts w:ascii="仿宋_GB2312" w:hAnsi="仿宋_GB2312" w:cs="仿宋_GB2312" w:eastAsia="仿宋_GB2312"/>
              </w:rPr>
              <w:t>保密及廉洁措施</w:t>
            </w:r>
          </w:p>
        </w:tc>
        <w:tc>
          <w:tcPr>
            <w:tcW w:type="dxa" w:w="2492"/>
          </w:tcPr>
          <w:p>
            <w:pPr>
              <w:pStyle w:val="null3"/>
            </w:pPr>
            <w:r>
              <w:rPr>
                <w:rFonts w:ascii="仿宋_GB2312" w:hAnsi="仿宋_GB2312" w:cs="仿宋_GB2312" w:eastAsia="仿宋_GB2312"/>
              </w:rPr>
              <w:t>一、评审内容：①投标人针对项目安全保密职责提供具体的保密措施②投标人针对项目廉洁管理提供具体的廉洁措施。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1.总监理工程师业绩 2021年1月1日起至今，拟派总监理工程师承担过类似项目的监理服务业绩，项目案例每个得1分，最多得3分。 类似业绩时间、证明资料以投标人加盖公章的合同或中标通知书复印件或扫描件为准。总监理工程师业绩需体现总监理工程师姓名，总监理工程师业绩可与单位业绩重复记取。 2.提供2022年1月1日起至今类似项目业绩，每提供一项得2分，最高得10分。（提供合同复印件或中标（成交）通知书复印件加盖公章。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服务方案（2包）.docx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价格分采用低价优先法计算，即满足招标文件要求且投标报价最低的投标报价为评标基准价，其价格分为满分。其他投标人的价格分统一按照下列公式计算： 投标报价得分=（评标基准价/有效报价）×价格权值（20%）×100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报价明细表（2包）.docx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详见附件：商务应答表（1包）.docx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详见附件：报价明细表（1包）.docx</w:t>
      </w:r>
    </w:p>
    <w:p>
      <w:pPr>
        <w:pStyle w:val="null3"/>
        <w:ind w:firstLine="960"/>
      </w:pPr>
      <w:r>
        <w:rPr>
          <w:rFonts w:ascii="仿宋_GB2312" w:hAnsi="仿宋_GB2312" w:cs="仿宋_GB2312" w:eastAsia="仿宋_GB2312"/>
        </w:rPr>
        <w:t>详见附件：服务方案（1包）.docx</w:t>
      </w:r>
    </w:p>
    <w:p>
      <w:pPr>
        <w:pStyle w:val="null3"/>
        <w:ind w:firstLine="960"/>
      </w:pPr>
      <w:r>
        <w:rPr>
          <w:rFonts w:ascii="仿宋_GB2312" w:hAnsi="仿宋_GB2312" w:cs="仿宋_GB2312" w:eastAsia="仿宋_GB2312"/>
        </w:rPr>
        <w:t>详见附件：投标人应提交的相关资格证明材料（1包）.docx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详见附件：商务应答表（2包）.docx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详见附件：报价明细表（2包）.docx</w:t>
      </w:r>
    </w:p>
    <w:p>
      <w:pPr>
        <w:pStyle w:val="null3"/>
        <w:ind w:firstLine="960"/>
      </w:pPr>
      <w:r>
        <w:rPr>
          <w:rFonts w:ascii="仿宋_GB2312" w:hAnsi="仿宋_GB2312" w:cs="仿宋_GB2312" w:eastAsia="仿宋_GB2312"/>
        </w:rPr>
        <w:t>详见附件：服务方案（2包）.docx</w:t>
      </w:r>
    </w:p>
    <w:p>
      <w:pPr>
        <w:pStyle w:val="null3"/>
        <w:ind w:firstLine="960"/>
      </w:pPr>
      <w:r>
        <w:rPr>
          <w:rFonts w:ascii="仿宋_GB2312" w:hAnsi="仿宋_GB2312" w:cs="仿宋_GB2312" w:eastAsia="仿宋_GB2312"/>
        </w:rPr>
        <w:t>详见附件：投标人应提交的相关资格证明材料（2包）.docx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