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B4534E8">
      <w:pPr>
        <w:pStyle w:val="3"/>
        <w:spacing w:line="360" w:lineRule="auto"/>
        <w:ind w:left="0" w:leftChars="0" w:firstLine="0" w:firstLineChars="0"/>
        <w:jc w:val="center"/>
        <w:rPr>
          <w:rFonts w:hint="eastAsia" w:ascii="黑体" w:hAnsi="黑体" w:eastAsia="黑体" w:cs="黑体"/>
          <w:kern w:val="2"/>
          <w:sz w:val="48"/>
          <w:szCs w:val="48"/>
          <w:lang w:val="en-US" w:eastAsia="zh-CN" w:bidi="ar-SA"/>
        </w:rPr>
      </w:pPr>
    </w:p>
    <w:p w14:paraId="7CD1CD38">
      <w:pPr>
        <w:pStyle w:val="3"/>
        <w:spacing w:line="360" w:lineRule="auto"/>
        <w:ind w:left="0" w:leftChars="0" w:firstLine="0" w:firstLineChars="0"/>
        <w:jc w:val="both"/>
        <w:rPr>
          <w:rFonts w:hint="eastAsia" w:ascii="黑体" w:hAnsi="黑体" w:eastAsia="黑体" w:cs="黑体"/>
          <w:kern w:val="2"/>
          <w:sz w:val="48"/>
          <w:szCs w:val="48"/>
          <w:lang w:val="en-US" w:eastAsia="zh-CN" w:bidi="ar-SA"/>
        </w:rPr>
      </w:pPr>
    </w:p>
    <w:p w14:paraId="5A2FF425">
      <w:pPr>
        <w:pStyle w:val="3"/>
        <w:spacing w:line="360" w:lineRule="auto"/>
        <w:ind w:left="0" w:leftChars="0" w:firstLine="0" w:firstLineChars="0"/>
        <w:jc w:val="center"/>
        <w:rPr>
          <w:rFonts w:hint="eastAsia" w:ascii="宋体" w:hAnsi="宋体" w:eastAsia="宋体" w:cs="Times New Roman"/>
          <w:b/>
          <w:bCs/>
          <w:color w:val="000000"/>
          <w:kern w:val="2"/>
          <w:sz w:val="44"/>
          <w:szCs w:val="44"/>
          <w:lang w:val="en-US" w:eastAsia="zh-CN" w:bidi="ar-SA"/>
        </w:rPr>
      </w:pPr>
      <w:r>
        <w:rPr>
          <w:rFonts w:hint="eastAsia" w:ascii="宋体" w:hAnsi="宋体" w:eastAsia="宋体" w:cs="Times New Roman"/>
          <w:b/>
          <w:bCs/>
          <w:color w:val="000000"/>
          <w:kern w:val="2"/>
          <w:sz w:val="44"/>
          <w:szCs w:val="44"/>
          <w:lang w:val="en-US" w:eastAsia="zh-CN" w:bidi="ar-SA"/>
        </w:rPr>
        <w:t>2025年渭南市应急管理局救灾物资采购项目</w:t>
      </w:r>
    </w:p>
    <w:p w14:paraId="7A3151B8">
      <w:pPr>
        <w:pStyle w:val="14"/>
        <w:rPr>
          <w:rFonts w:hint="eastAsia"/>
          <w:color w:val="000000"/>
        </w:rPr>
      </w:pPr>
    </w:p>
    <w:p w14:paraId="7A313AAC">
      <w:pPr>
        <w:rPr>
          <w:rFonts w:hint="eastAsia" w:ascii="宋体" w:hAnsi="宋体"/>
          <w:color w:val="000000"/>
        </w:rPr>
      </w:pPr>
    </w:p>
    <w:p w14:paraId="5A41EE53">
      <w:pPr>
        <w:pStyle w:val="4"/>
        <w:jc w:val="center"/>
        <w:rPr>
          <w:rFonts w:hint="eastAsia" w:ascii="宋体" w:hAnsi="宋体" w:eastAsia="宋体"/>
          <w:b/>
          <w:bCs/>
          <w:color w:val="000000"/>
          <w:sz w:val="44"/>
          <w:szCs w:val="44"/>
          <w:lang w:eastAsia="zh-CN"/>
        </w:rPr>
      </w:pPr>
      <w:r>
        <w:rPr>
          <w:rFonts w:hint="eastAsia" w:ascii="宋体" w:hAnsi="宋体"/>
          <w:b/>
          <w:bCs/>
          <w:color w:val="000000"/>
          <w:sz w:val="44"/>
          <w:szCs w:val="44"/>
          <w:lang w:eastAsia="zh-CN"/>
        </w:rPr>
        <w:t>（</w:t>
      </w:r>
      <w:r>
        <w:rPr>
          <w:rFonts w:hint="eastAsia" w:ascii="宋体" w:hAnsi="宋体"/>
          <w:b/>
          <w:bCs/>
          <w:color w:val="000000"/>
          <w:sz w:val="44"/>
          <w:szCs w:val="44"/>
          <w:u w:val="single"/>
          <w:lang w:val="en-US" w:eastAsia="zh-CN"/>
        </w:rPr>
        <w:t xml:space="preserve">      </w:t>
      </w:r>
      <w:r>
        <w:rPr>
          <w:rFonts w:hint="eastAsia" w:ascii="宋体" w:hAnsi="宋体"/>
          <w:b/>
          <w:bCs/>
          <w:color w:val="000000"/>
          <w:sz w:val="44"/>
          <w:szCs w:val="44"/>
          <w:lang w:val="en-US" w:eastAsia="zh-CN"/>
        </w:rPr>
        <w:t>标段</w:t>
      </w:r>
      <w:r>
        <w:rPr>
          <w:rFonts w:hint="eastAsia" w:ascii="宋体" w:hAnsi="宋体"/>
          <w:b/>
          <w:bCs/>
          <w:color w:val="000000"/>
          <w:sz w:val="44"/>
          <w:szCs w:val="44"/>
          <w:lang w:eastAsia="zh-CN"/>
        </w:rPr>
        <w:t>）</w:t>
      </w:r>
    </w:p>
    <w:p w14:paraId="0662FAFD">
      <w:pPr>
        <w:rPr>
          <w:rFonts w:hint="eastAsia"/>
          <w:color w:val="000000"/>
        </w:rPr>
      </w:pPr>
    </w:p>
    <w:p w14:paraId="43ECFDEC">
      <w:pPr>
        <w:pStyle w:val="2"/>
        <w:rPr>
          <w:rFonts w:hint="eastAsia"/>
          <w:color w:val="000000"/>
        </w:rPr>
      </w:pPr>
    </w:p>
    <w:p w14:paraId="744CA143">
      <w:pPr>
        <w:rPr>
          <w:rFonts w:hint="eastAsia"/>
          <w:sz w:val="72"/>
          <w:szCs w:val="72"/>
        </w:rPr>
      </w:pPr>
    </w:p>
    <w:p w14:paraId="40B6A9C5">
      <w:pPr>
        <w:spacing w:line="360" w:lineRule="auto"/>
        <w:jc w:val="center"/>
        <w:rPr>
          <w:rFonts w:hint="eastAsia" w:ascii="宋体" w:hAnsi="宋体"/>
          <w:b/>
          <w:bCs/>
          <w:color w:val="000000"/>
          <w:spacing w:val="12"/>
          <w:sz w:val="72"/>
          <w:szCs w:val="72"/>
        </w:rPr>
      </w:pPr>
      <w:r>
        <w:rPr>
          <w:rFonts w:hint="eastAsia" w:ascii="宋体" w:hAnsi="宋体"/>
          <w:b/>
          <w:bCs/>
          <w:color w:val="000000"/>
          <w:spacing w:val="12"/>
          <w:sz w:val="72"/>
          <w:szCs w:val="72"/>
        </w:rPr>
        <w:t>政府采购合同书</w:t>
      </w:r>
    </w:p>
    <w:p w14:paraId="2494EA84">
      <w:pPr>
        <w:spacing w:line="360" w:lineRule="auto"/>
        <w:jc w:val="center"/>
        <w:rPr>
          <w:rFonts w:hint="eastAsia" w:ascii="宋体" w:hAnsi="宋体"/>
          <w:color w:val="000000"/>
          <w:spacing w:val="12"/>
          <w:sz w:val="44"/>
          <w:szCs w:val="44"/>
        </w:rPr>
      </w:pPr>
      <w:r>
        <w:rPr>
          <w:rFonts w:hint="eastAsia" w:ascii="宋体" w:hAnsi="宋体"/>
          <w:color w:val="000000"/>
          <w:spacing w:val="12"/>
          <w:sz w:val="32"/>
          <w:szCs w:val="32"/>
        </w:rPr>
        <w:t xml:space="preserve">                   </w:t>
      </w:r>
    </w:p>
    <w:p w14:paraId="5E6E40AE">
      <w:pPr>
        <w:spacing w:line="360" w:lineRule="auto"/>
        <w:ind w:firstLine="516" w:firstLineChars="150"/>
        <w:rPr>
          <w:rFonts w:ascii="宋体" w:hAnsi="宋体"/>
          <w:color w:val="000000"/>
          <w:spacing w:val="12"/>
          <w:sz w:val="32"/>
          <w:szCs w:val="32"/>
        </w:rPr>
      </w:pPr>
    </w:p>
    <w:p w14:paraId="1898ADC0">
      <w:pPr>
        <w:rPr>
          <w:rFonts w:hint="eastAsia" w:ascii="宋体" w:hAnsi="宋体"/>
          <w:color w:val="000000"/>
          <w:spacing w:val="12"/>
          <w:sz w:val="32"/>
          <w:szCs w:val="32"/>
        </w:rPr>
      </w:pPr>
    </w:p>
    <w:p w14:paraId="21D65BC2">
      <w:pPr>
        <w:rPr>
          <w:rFonts w:hint="eastAsia" w:ascii="宋体" w:hAnsi="宋体"/>
          <w:color w:val="000000"/>
          <w:spacing w:val="12"/>
          <w:sz w:val="32"/>
          <w:szCs w:val="32"/>
        </w:rPr>
      </w:pPr>
    </w:p>
    <w:p w14:paraId="48967A0E">
      <w:pPr>
        <w:rPr>
          <w:rFonts w:ascii="宋体" w:hAnsi="宋体"/>
          <w:color w:val="000000"/>
        </w:rPr>
      </w:pPr>
    </w:p>
    <w:p w14:paraId="08A4E728">
      <w:pPr>
        <w:pStyle w:val="3"/>
        <w:rPr>
          <w:rFonts w:hint="eastAsia"/>
          <w:color w:val="000000"/>
        </w:rPr>
      </w:pPr>
    </w:p>
    <w:p w14:paraId="4A229DEA">
      <w:pPr>
        <w:pStyle w:val="10"/>
        <w:rPr>
          <w:rFonts w:hint="eastAsia"/>
          <w:color w:val="000000"/>
        </w:rPr>
      </w:pPr>
    </w:p>
    <w:p w14:paraId="62CC2545">
      <w:pPr>
        <w:rPr>
          <w:rFonts w:hint="eastAsia"/>
          <w:color w:val="000000"/>
        </w:rPr>
      </w:pPr>
    </w:p>
    <w:p w14:paraId="3BBEAD4C">
      <w:pPr>
        <w:rPr>
          <w:rFonts w:hint="eastAsia"/>
        </w:rPr>
      </w:pPr>
    </w:p>
    <w:p w14:paraId="345DCE97">
      <w:pPr>
        <w:pStyle w:val="4"/>
        <w:rPr>
          <w:rFonts w:hint="eastAsia"/>
        </w:rPr>
      </w:pPr>
    </w:p>
    <w:p w14:paraId="7FDB0415">
      <w:pPr>
        <w:keepNext w:val="0"/>
        <w:keepLines w:val="0"/>
        <w:pageBreakBefore w:val="0"/>
        <w:widowControl w:val="0"/>
        <w:kinsoku/>
        <w:wordWrap/>
        <w:overflowPunct/>
        <w:topLinePunct w:val="0"/>
        <w:autoSpaceDE/>
        <w:autoSpaceDN/>
        <w:bidi w:val="0"/>
        <w:adjustRightInd/>
        <w:snapToGrid/>
        <w:spacing w:line="720" w:lineRule="auto"/>
        <w:jc w:val="center"/>
        <w:textAlignment w:val="auto"/>
        <w:rPr>
          <w:rFonts w:hint="eastAsia" w:ascii="宋体" w:hAnsi="宋体" w:eastAsia="宋体" w:cs="Times New Roman"/>
          <w:b/>
          <w:bCs/>
          <w:color w:val="000000"/>
          <w:spacing w:val="12"/>
          <w:sz w:val="32"/>
          <w:szCs w:val="32"/>
          <w:lang w:val="en-US" w:eastAsia="zh-CN"/>
        </w:rPr>
      </w:pPr>
      <w:r>
        <w:rPr>
          <w:rFonts w:hint="eastAsia" w:ascii="宋体" w:hAnsi="宋体"/>
          <w:b/>
          <w:bCs/>
          <w:color w:val="000000"/>
          <w:spacing w:val="12"/>
          <w:sz w:val="32"/>
          <w:szCs w:val="32"/>
          <w:lang w:val="en-US" w:eastAsia="zh-CN"/>
        </w:rPr>
        <w:t>采购人</w:t>
      </w:r>
      <w:r>
        <w:rPr>
          <w:rFonts w:hint="eastAsia" w:ascii="宋体" w:hAnsi="宋体"/>
          <w:b/>
          <w:bCs/>
          <w:color w:val="000000"/>
          <w:spacing w:val="12"/>
          <w:sz w:val="32"/>
          <w:szCs w:val="32"/>
        </w:rPr>
        <w:t>：</w:t>
      </w:r>
      <w:r>
        <w:rPr>
          <w:rFonts w:hint="eastAsia" w:ascii="宋体" w:hAnsi="宋体" w:eastAsia="宋体" w:cs="Times New Roman"/>
          <w:b/>
          <w:bCs/>
          <w:color w:val="000000"/>
          <w:spacing w:val="12"/>
          <w:sz w:val="32"/>
          <w:szCs w:val="32"/>
          <w:lang w:val="en-US" w:eastAsia="zh-CN"/>
        </w:rPr>
        <w:t>渭南市应急管理局</w:t>
      </w:r>
    </w:p>
    <w:p w14:paraId="4657DE0F">
      <w:pPr>
        <w:keepNext w:val="0"/>
        <w:keepLines w:val="0"/>
        <w:pageBreakBefore w:val="0"/>
        <w:widowControl w:val="0"/>
        <w:kinsoku/>
        <w:wordWrap/>
        <w:overflowPunct/>
        <w:topLinePunct w:val="0"/>
        <w:autoSpaceDE/>
        <w:autoSpaceDN/>
        <w:bidi w:val="0"/>
        <w:adjustRightInd/>
        <w:snapToGrid/>
        <w:spacing w:line="720" w:lineRule="auto"/>
        <w:ind w:firstLine="2417" w:firstLineChars="700"/>
        <w:jc w:val="both"/>
        <w:textAlignment w:val="auto"/>
        <w:rPr>
          <w:rFonts w:hint="eastAsia" w:ascii="宋体" w:hAnsi="宋体"/>
          <w:b/>
          <w:bCs/>
          <w:color w:val="000000"/>
          <w:spacing w:val="12"/>
          <w:sz w:val="32"/>
          <w:szCs w:val="32"/>
          <w:lang w:val="en-US" w:eastAsia="zh-CN"/>
        </w:rPr>
      </w:pPr>
      <w:r>
        <w:rPr>
          <w:rFonts w:hint="eastAsia" w:ascii="宋体" w:hAnsi="宋体"/>
          <w:b/>
          <w:bCs/>
          <w:color w:val="000000"/>
          <w:spacing w:val="12"/>
          <w:sz w:val="32"/>
          <w:szCs w:val="32"/>
          <w:lang w:val="en-US" w:eastAsia="zh-CN"/>
        </w:rPr>
        <w:t>供应商</w:t>
      </w:r>
      <w:r>
        <w:rPr>
          <w:rFonts w:hint="eastAsia" w:ascii="宋体" w:hAnsi="宋体"/>
          <w:b/>
          <w:bCs/>
          <w:color w:val="000000"/>
          <w:spacing w:val="12"/>
          <w:sz w:val="32"/>
          <w:szCs w:val="32"/>
        </w:rPr>
        <w:t>：</w:t>
      </w:r>
    </w:p>
    <w:p w14:paraId="0381F1DD">
      <w:pPr>
        <w:spacing w:line="440" w:lineRule="exact"/>
        <w:rPr>
          <w:rFonts w:hint="eastAsia" w:ascii="宋体" w:hAnsi="宋体"/>
          <w:b/>
          <w:bCs/>
          <w:color w:val="000000"/>
          <w:spacing w:val="12"/>
          <w:sz w:val="32"/>
          <w:szCs w:val="32"/>
          <w:lang w:val="en-US" w:eastAsia="zh-CN"/>
        </w:rPr>
        <w:sectPr>
          <w:pgSz w:w="11906" w:h="16838"/>
          <w:pgMar w:top="1417" w:right="1417" w:bottom="1417" w:left="1417" w:header="851" w:footer="992" w:gutter="0"/>
          <w:pgNumType w:fmt="decimal" w:start="1"/>
          <w:cols w:space="720" w:num="1"/>
          <w:docGrid w:type="lines" w:linePitch="312" w:charSpace="0"/>
        </w:sectPr>
      </w:pPr>
    </w:p>
    <w:p w14:paraId="772E4B26">
      <w:pPr>
        <w:spacing w:line="440" w:lineRule="exact"/>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 xml:space="preserve">签订地点：  </w:t>
      </w:r>
    </w:p>
    <w:p w14:paraId="2B8391B4">
      <w:pPr>
        <w:spacing w:line="440" w:lineRule="exact"/>
        <w:rPr>
          <w:rFonts w:ascii="宋体" w:hAnsi="宋体"/>
          <w:color w:val="auto"/>
          <w:sz w:val="24"/>
          <w:highlight w:val="none"/>
        </w:rPr>
      </w:pPr>
      <w:r>
        <w:rPr>
          <w:rFonts w:hint="eastAsia" w:ascii="宋体" w:hAnsi="宋体"/>
          <w:color w:val="auto"/>
          <w:sz w:val="24"/>
          <w:highlight w:val="none"/>
        </w:rPr>
        <w:t>签订时间：  年  月  日</w:t>
      </w:r>
    </w:p>
    <w:p w14:paraId="0520CE38">
      <w:pPr>
        <w:spacing w:line="440" w:lineRule="exact"/>
        <w:rPr>
          <w:rFonts w:ascii="宋体" w:hAnsi="宋体"/>
          <w:color w:val="auto"/>
          <w:sz w:val="24"/>
          <w:highlight w:val="none"/>
        </w:rPr>
      </w:pPr>
      <w:r>
        <w:rPr>
          <w:rFonts w:hint="eastAsia" w:ascii="宋体" w:hAnsi="宋体" w:eastAsia="宋体" w:cs="Times New Roman"/>
          <w:color w:val="auto"/>
          <w:sz w:val="24"/>
          <w:highlight w:val="none"/>
        </w:rPr>
        <w:t>项目编号：</w:t>
      </w:r>
      <w:r>
        <w:rPr>
          <w:rFonts w:hint="eastAsia" w:ascii="宋体" w:hAnsi="宋体" w:eastAsia="宋体" w:cs="Times New Roman"/>
          <w:color w:val="auto"/>
          <w:sz w:val="24"/>
          <w:highlight w:val="none"/>
          <w:lang w:val="en-US" w:eastAsia="zh-CN"/>
        </w:rPr>
        <w:t xml:space="preserve">                          </w:t>
      </w:r>
      <w:r>
        <w:rPr>
          <w:rFonts w:hint="eastAsia" w:ascii="宋体" w:hAnsi="宋体" w:eastAsia="宋体" w:cs="Times New Roman"/>
          <w:color w:val="auto"/>
          <w:sz w:val="24"/>
          <w:highlight w:val="none"/>
        </w:rPr>
        <w:t xml:space="preserve"> </w:t>
      </w:r>
      <w:r>
        <w:rPr>
          <w:rFonts w:ascii="宋体" w:hAnsi="宋体"/>
          <w:color w:val="auto"/>
          <w:sz w:val="24"/>
          <w:highlight w:val="none"/>
        </w:rPr>
        <w:t xml:space="preserve">                 </w:t>
      </w:r>
    </w:p>
    <w:p w14:paraId="2DCB9975">
      <w:pPr>
        <w:spacing w:line="440" w:lineRule="exact"/>
        <w:rPr>
          <w:rFonts w:hint="eastAsia" w:ascii="宋体" w:hAnsi="宋体"/>
          <w:color w:val="auto"/>
          <w:sz w:val="24"/>
          <w:highlight w:val="none"/>
        </w:rPr>
      </w:pPr>
      <w:r>
        <w:rPr>
          <w:rFonts w:hint="eastAsia" w:ascii="宋体" w:hAnsi="宋体"/>
          <w:color w:val="auto"/>
          <w:sz w:val="24"/>
          <w:highlight w:val="none"/>
        </w:rPr>
        <w:t>采购人：</w:t>
      </w:r>
    </w:p>
    <w:p w14:paraId="396247AB">
      <w:pPr>
        <w:spacing w:line="440" w:lineRule="exact"/>
        <w:rPr>
          <w:rFonts w:hint="eastAsia" w:ascii="宋体" w:hAnsi="宋体"/>
          <w:color w:val="auto"/>
          <w:sz w:val="24"/>
          <w:highlight w:val="none"/>
        </w:rPr>
      </w:pPr>
      <w:r>
        <w:rPr>
          <w:rFonts w:hint="eastAsia" w:ascii="宋体" w:hAnsi="宋体"/>
          <w:color w:val="auto"/>
          <w:sz w:val="24"/>
          <w:highlight w:val="none"/>
        </w:rPr>
        <w:t>供应商：</w:t>
      </w:r>
    </w:p>
    <w:p w14:paraId="7A96BAE3">
      <w:pPr>
        <w:pStyle w:val="3"/>
        <w:spacing w:line="360" w:lineRule="auto"/>
        <w:ind w:left="0" w:leftChars="0" w:firstLine="480" w:firstLineChars="0"/>
        <w:jc w:val="center"/>
        <w:rPr>
          <w:rFonts w:hint="eastAsia" w:ascii="宋体" w:hAnsi="宋体"/>
          <w:color w:val="auto"/>
          <w:sz w:val="24"/>
          <w:highlight w:val="none"/>
        </w:rPr>
      </w:pPr>
      <w:r>
        <w:rPr>
          <w:rFonts w:hint="eastAsia" w:ascii="宋体" w:hAnsi="宋体"/>
          <w:color w:val="auto"/>
          <w:sz w:val="24"/>
          <w:highlight w:val="none"/>
        </w:rPr>
        <w:t>根据</w:t>
      </w:r>
      <w:r>
        <w:rPr>
          <w:rFonts w:hint="eastAsia" w:ascii="宋体" w:hAnsi="宋体"/>
          <w:color w:val="auto"/>
          <w:sz w:val="24"/>
          <w:highlight w:val="none"/>
          <w:u w:val="single"/>
          <w:lang w:val="en-US" w:eastAsia="zh-CN"/>
        </w:rPr>
        <w:t xml:space="preserve">  </w:t>
      </w:r>
      <w:r>
        <w:rPr>
          <w:rFonts w:hint="eastAsia" w:ascii="宋体" w:hAnsi="宋体" w:eastAsia="Times New Roman" w:cs="Times New Roman"/>
          <w:color w:val="auto"/>
          <w:sz w:val="24"/>
          <w:highlight w:val="none"/>
          <w:u w:val="single"/>
          <w:lang w:val="en-US" w:eastAsia="zh-CN"/>
        </w:rPr>
        <w:t>2025年渭南市应急管理局救灾物资采购项目</w:t>
      </w:r>
      <w:r>
        <w:rPr>
          <w:rFonts w:hint="eastAsia" w:ascii="宋体" w:hAnsi="宋体" w:eastAsia="Times New Roman" w:cs="Times New Roman"/>
          <w:color w:val="auto"/>
          <w:sz w:val="24"/>
          <w:highlight w:val="none"/>
          <w:u w:val="single"/>
          <w:lang w:val="en-US" w:eastAsia="zh-CN"/>
        </w:rPr>
        <w:t xml:space="preserve">  </w:t>
      </w:r>
      <w:r>
        <w:rPr>
          <w:rFonts w:hint="eastAsia" w:ascii="宋体" w:hAnsi="宋体"/>
          <w:color w:val="auto"/>
          <w:sz w:val="24"/>
          <w:highlight w:val="none"/>
        </w:rPr>
        <w:t>的采购结果，按照《中</w:t>
      </w:r>
    </w:p>
    <w:p w14:paraId="4AA067BC">
      <w:pPr>
        <w:pStyle w:val="3"/>
        <w:spacing w:line="360" w:lineRule="auto"/>
        <w:ind w:left="0" w:leftChars="0" w:firstLine="0" w:firstLineChars="0"/>
        <w:jc w:val="both"/>
        <w:rPr>
          <w:rFonts w:ascii="宋体" w:hAnsi="宋体"/>
          <w:color w:val="auto"/>
          <w:sz w:val="24"/>
          <w:highlight w:val="none"/>
          <w:u w:val="single"/>
        </w:rPr>
      </w:pPr>
      <w:r>
        <w:rPr>
          <w:rFonts w:hint="eastAsia" w:ascii="宋体" w:hAnsi="宋体"/>
          <w:color w:val="auto"/>
          <w:sz w:val="24"/>
          <w:highlight w:val="none"/>
        </w:rPr>
        <w:t>华人民共和国政府采购法》、《中华人民共和国民法典》等规定，经双方协商，本着平等互利和诚实信用的原则，一致同意签订本合同如下。</w:t>
      </w:r>
    </w:p>
    <w:p w14:paraId="31033206">
      <w:pPr>
        <w:spacing w:line="360" w:lineRule="auto"/>
        <w:ind w:firstLine="482" w:firstLineChars="200"/>
        <w:rPr>
          <w:rFonts w:hint="eastAsia" w:ascii="宋体" w:hAnsi="宋体"/>
          <w:b/>
          <w:bCs/>
          <w:color w:val="auto"/>
          <w:sz w:val="24"/>
          <w:highlight w:val="none"/>
        </w:rPr>
      </w:pPr>
      <w:r>
        <w:rPr>
          <w:rFonts w:hint="eastAsia" w:ascii="宋体" w:hAnsi="宋体"/>
          <w:b/>
          <w:bCs/>
          <w:color w:val="auto"/>
          <w:sz w:val="24"/>
          <w:highlight w:val="none"/>
        </w:rPr>
        <w:t>一、合同文件</w:t>
      </w:r>
    </w:p>
    <w:p w14:paraId="551C6FE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1、协议书条款；</w:t>
      </w:r>
    </w:p>
    <w:p w14:paraId="4052E5A8">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2、招标文件；</w:t>
      </w:r>
    </w:p>
    <w:p w14:paraId="66E6B07B">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3、投标文件；</w:t>
      </w:r>
    </w:p>
    <w:p w14:paraId="3AEBE4D0">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4、中标通知书；</w:t>
      </w:r>
    </w:p>
    <w:p w14:paraId="0AA1A0BC">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5、其他。</w:t>
      </w:r>
    </w:p>
    <w:p w14:paraId="77534BBD">
      <w:pPr>
        <w:spacing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上述所指合同文件应认为是互相补充和解释的，但是有模棱两可或互相矛盾之处，以其所列内容顺序为准。</w:t>
      </w:r>
    </w:p>
    <w:p w14:paraId="0B67D65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二、交付条件：</w:t>
      </w:r>
    </w:p>
    <w:p w14:paraId="2B3D7E7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（一）交付地点：采购人指定地点。</w:t>
      </w:r>
    </w:p>
    <w:p w14:paraId="48222E31">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（二）交付期：合同签订后</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val="en-US" w:eastAsia="zh-CN"/>
        </w:rPr>
        <w:t xml:space="preserve"> </w:t>
      </w:r>
      <w:r>
        <w:rPr>
          <w:rFonts w:ascii="宋体" w:hAnsi="宋体" w:cs="宋体"/>
          <w:color w:val="auto"/>
          <w:kern w:val="0"/>
          <w:sz w:val="24"/>
          <w:highlight w:val="none"/>
          <w:u w:val="single"/>
        </w:rPr>
        <w:t xml:space="preserve">    </w:t>
      </w:r>
      <w:r>
        <w:rPr>
          <w:rFonts w:hint="eastAsia" w:ascii="宋体" w:hAnsi="宋体" w:cs="宋体"/>
          <w:color w:val="auto"/>
          <w:kern w:val="0"/>
          <w:sz w:val="24"/>
          <w:highlight w:val="none"/>
        </w:rPr>
        <w:t>个日历天内完成项目全部内容，并交付采购人验收合格。</w:t>
      </w:r>
    </w:p>
    <w:p w14:paraId="72597874">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三</w:t>
      </w:r>
      <w:r>
        <w:rPr>
          <w:rFonts w:ascii="宋体" w:hAnsi="宋体" w:cs="宋体"/>
          <w:b/>
          <w:bCs/>
          <w:color w:val="auto"/>
          <w:kern w:val="0"/>
          <w:sz w:val="24"/>
          <w:highlight w:val="none"/>
        </w:rPr>
        <w:t>、</w:t>
      </w:r>
      <w:r>
        <w:rPr>
          <w:rFonts w:hint="eastAsia" w:ascii="宋体" w:hAnsi="宋体" w:cs="宋体"/>
          <w:b/>
          <w:bCs/>
          <w:color w:val="auto"/>
          <w:kern w:val="0"/>
          <w:sz w:val="24"/>
          <w:highlight w:val="none"/>
          <w:lang w:val="en-US" w:eastAsia="zh-CN"/>
        </w:rPr>
        <w:t>中标</w:t>
      </w:r>
      <w:r>
        <w:rPr>
          <w:rFonts w:ascii="宋体" w:hAnsi="宋体" w:cs="宋体"/>
          <w:b/>
          <w:bCs/>
          <w:color w:val="auto"/>
          <w:kern w:val="0"/>
          <w:sz w:val="24"/>
          <w:highlight w:val="none"/>
        </w:rPr>
        <w:t>价款</w:t>
      </w:r>
      <w:r>
        <w:rPr>
          <w:rFonts w:hint="eastAsia" w:ascii="宋体" w:hAnsi="宋体" w:cs="宋体"/>
          <w:b/>
          <w:bCs/>
          <w:color w:val="auto"/>
          <w:kern w:val="0"/>
          <w:sz w:val="24"/>
          <w:highlight w:val="none"/>
        </w:rPr>
        <w:t>及</w:t>
      </w:r>
      <w:r>
        <w:rPr>
          <w:rFonts w:ascii="宋体" w:hAnsi="宋体" w:cs="宋体"/>
          <w:b/>
          <w:bCs/>
          <w:color w:val="auto"/>
          <w:kern w:val="0"/>
          <w:sz w:val="24"/>
          <w:highlight w:val="none"/>
        </w:rPr>
        <w:t>款项结算</w:t>
      </w:r>
      <w:r>
        <w:rPr>
          <w:rFonts w:hint="eastAsia" w:ascii="宋体" w:hAnsi="宋体" w:cs="宋体"/>
          <w:b/>
          <w:bCs/>
          <w:color w:val="auto"/>
          <w:kern w:val="0"/>
          <w:sz w:val="24"/>
          <w:highlight w:val="none"/>
        </w:rPr>
        <w:t>：</w:t>
      </w:r>
    </w:p>
    <w:p w14:paraId="17C928BA">
      <w:pPr>
        <w:tabs>
          <w:tab w:val="left" w:pos="0"/>
          <w:tab w:val="left" w:pos="437"/>
          <w:tab w:val="left" w:pos="1311"/>
        </w:tabs>
        <w:adjustRightInd w:val="0"/>
        <w:snapToGrid w:val="0"/>
        <w:spacing w:line="360" w:lineRule="auto"/>
        <w:ind w:firstLine="480" w:firstLineChars="200"/>
        <w:jc w:val="left"/>
        <w:rPr>
          <w:rFonts w:hint="eastAsia"/>
          <w:color w:val="auto"/>
          <w:highlight w:val="none"/>
        </w:rPr>
      </w:pPr>
      <w:r>
        <w:rPr>
          <w:rFonts w:hint="eastAsia" w:ascii="宋体" w:hAnsi="宋体" w:eastAsia="宋体" w:cs="宋体"/>
          <w:color w:val="auto"/>
          <w:kern w:val="0"/>
          <w:sz w:val="24"/>
          <w:highlight w:val="none"/>
        </w:rPr>
        <w:t>（一）</w:t>
      </w:r>
      <w:r>
        <w:rPr>
          <w:rFonts w:hint="eastAsia" w:ascii="宋体" w:hAnsi="宋体" w:eastAsia="宋体" w:cs="宋体"/>
          <w:color w:val="auto"/>
          <w:kern w:val="0"/>
          <w:sz w:val="24"/>
          <w:highlight w:val="none"/>
          <w:lang w:val="en-US" w:eastAsia="zh-CN"/>
        </w:rPr>
        <w:t>中标价</w:t>
      </w:r>
      <w:r>
        <w:rPr>
          <w:rFonts w:hint="eastAsia" w:ascii="宋体" w:hAnsi="宋体" w:eastAsia="宋体" w:cs="宋体"/>
          <w:color w:val="auto"/>
          <w:kern w:val="0"/>
          <w:sz w:val="24"/>
          <w:highlight w:val="none"/>
        </w:rPr>
        <w:t>：大写：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，小写：</w:t>
      </w:r>
      <w:r>
        <w:rPr>
          <w:rFonts w:hint="eastAsia" w:ascii="宋体" w:hAnsi="宋体" w:eastAsia="宋体" w:cs="宋体"/>
          <w:color w:val="auto"/>
          <w:kern w:val="0"/>
          <w:sz w:val="24"/>
          <w:highlight w:val="none"/>
          <w:u w:val="single"/>
        </w:rPr>
        <w:t xml:space="preserve">         </w:t>
      </w:r>
      <w:r>
        <w:rPr>
          <w:rFonts w:hint="eastAsia" w:ascii="宋体" w:hAnsi="宋体" w:eastAsia="宋体" w:cs="宋体"/>
          <w:color w:val="auto"/>
          <w:kern w:val="0"/>
          <w:sz w:val="24"/>
          <w:highlight w:val="none"/>
        </w:rPr>
        <w:t>，</w:t>
      </w:r>
      <w:r>
        <w:rPr>
          <w:rFonts w:hint="eastAsia" w:ascii="宋体" w:hAnsi="宋体" w:eastAsia="宋体" w:cs="宋体"/>
          <w:color w:val="auto"/>
          <w:sz w:val="24"/>
          <w:highlight w:val="none"/>
        </w:rPr>
        <w:t>包含</w:t>
      </w:r>
      <w:r>
        <w:rPr>
          <w:rFonts w:hint="eastAsia" w:ascii="宋体" w:hAnsi="宋体" w:eastAsia="宋体" w:cs="宋体"/>
          <w:color w:val="auto"/>
          <w:sz w:val="24"/>
          <w:highlight w:val="none"/>
          <w:lang w:eastAsia="zh-CN"/>
        </w:rPr>
        <w:t>产品费（含税）+运输费+包装费+产品辅材费+验收费</w:t>
      </w:r>
      <w:r>
        <w:rPr>
          <w:rFonts w:hint="eastAsia" w:ascii="宋体" w:hAnsi="宋体" w:eastAsia="宋体" w:cs="宋体"/>
          <w:color w:val="auto"/>
          <w:sz w:val="24"/>
          <w:highlight w:val="none"/>
        </w:rPr>
        <w:t>+售后服务费+相关伴随费用等。</w:t>
      </w:r>
    </w:p>
    <w:tbl>
      <w:tblPr>
        <w:tblStyle w:val="12"/>
        <w:tblW w:w="8715" w:type="dxa"/>
        <w:jc w:val="center"/>
        <w:tblLayout w:type="fixed"/>
        <w:tblCellMar>
          <w:top w:w="0" w:type="dxa"/>
          <w:left w:w="0" w:type="dxa"/>
          <w:bottom w:w="0" w:type="dxa"/>
          <w:right w:w="0" w:type="dxa"/>
        </w:tblCellMar>
      </w:tblPr>
      <w:tblGrid>
        <w:gridCol w:w="1786"/>
        <w:gridCol w:w="3509"/>
        <w:gridCol w:w="1440"/>
        <w:gridCol w:w="1080"/>
        <w:gridCol w:w="900"/>
      </w:tblGrid>
      <w:tr w14:paraId="5F95C6A7">
        <w:tblPrEx>
          <w:tblCellMar>
            <w:top w:w="0" w:type="dxa"/>
            <w:left w:w="0" w:type="dxa"/>
            <w:bottom w:w="0" w:type="dxa"/>
            <w:right w:w="0" w:type="dxa"/>
          </w:tblCellMar>
        </w:tblPrEx>
        <w:trPr>
          <w:trHeight w:val="90"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006176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品名</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252363B">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eastAsia="zh-CN" w:bidi="ar"/>
              </w:rPr>
            </w:pPr>
            <w:r>
              <w:rPr>
                <w:rFonts w:hint="eastAsia" w:ascii="宋体" w:hAnsi="宋体" w:eastAsia="宋体" w:cs="宋体"/>
                <w:b/>
                <w:bCs/>
                <w:color w:val="auto"/>
                <w:kern w:val="0"/>
                <w:szCs w:val="21"/>
                <w:highlight w:val="none"/>
                <w:lang w:val="en-US" w:eastAsia="zh-CN" w:bidi="ar"/>
              </w:rPr>
              <w:t>参数</w:t>
            </w: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60C74A0">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产品单价</w:t>
            </w:r>
          </w:p>
          <w:p w14:paraId="11264BC7">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（元）</w:t>
            </w: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7512BB06">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单位</w:t>
            </w:r>
          </w:p>
        </w:tc>
        <w:tc>
          <w:tcPr>
            <w:tcW w:w="900" w:type="dxa"/>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4099EE98">
            <w:pPr>
              <w:keepNext w:val="0"/>
              <w:keepLines w:val="0"/>
              <w:pageBreakBefore w:val="0"/>
              <w:widowControl w:val="0"/>
              <w:kinsoku/>
              <w:wordWrap/>
              <w:overflowPunct/>
              <w:topLinePunct w:val="0"/>
              <w:autoSpaceDE/>
              <w:autoSpaceDN/>
              <w:bidi w:val="0"/>
              <w:adjustRightInd/>
              <w:snapToGrid/>
              <w:spacing w:line="320" w:lineRule="exact"/>
              <w:jc w:val="center"/>
              <w:textAlignment w:val="auto"/>
              <w:rPr>
                <w:rFonts w:hint="eastAsia" w:ascii="宋体" w:hAnsi="宋体" w:eastAsia="宋体" w:cs="宋体"/>
                <w:b/>
                <w:bCs/>
                <w:color w:val="auto"/>
                <w:kern w:val="0"/>
                <w:szCs w:val="21"/>
                <w:highlight w:val="none"/>
                <w:lang w:bidi="ar"/>
              </w:rPr>
            </w:pPr>
            <w:r>
              <w:rPr>
                <w:rFonts w:hint="eastAsia" w:ascii="宋体" w:hAnsi="宋体" w:eastAsia="宋体" w:cs="宋体"/>
                <w:b/>
                <w:bCs/>
                <w:color w:val="auto"/>
                <w:kern w:val="0"/>
                <w:szCs w:val="21"/>
                <w:highlight w:val="none"/>
                <w:lang w:bidi="ar"/>
              </w:rPr>
              <w:t>数量</w:t>
            </w:r>
          </w:p>
        </w:tc>
      </w:tr>
      <w:tr w14:paraId="002C4F36">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B87130">
            <w:pPr>
              <w:spacing w:line="360" w:lineRule="auto"/>
              <w:jc w:val="center"/>
              <w:rPr>
                <w:rFonts w:hint="eastAsia" w:ascii="宋体" w:hAnsi="宋体" w:eastAsia="宋体" w:cs="宋体"/>
                <w:color w:val="auto"/>
                <w:szCs w:val="21"/>
                <w:highlight w:val="none"/>
              </w:rPr>
            </w:pP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45A67847">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C189EA7">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FF1057A">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360F9EA3">
            <w:pPr>
              <w:spacing w:line="360" w:lineRule="auto"/>
              <w:jc w:val="center"/>
              <w:rPr>
                <w:rFonts w:hint="eastAsia" w:ascii="宋体" w:hAnsi="宋体" w:eastAsia="宋体" w:cs="宋体"/>
                <w:color w:val="auto"/>
                <w:szCs w:val="21"/>
                <w:highlight w:val="none"/>
              </w:rPr>
            </w:pPr>
          </w:p>
        </w:tc>
      </w:tr>
      <w:tr w14:paraId="063A3E0A">
        <w:tblPrEx>
          <w:tblCellMar>
            <w:top w:w="0" w:type="dxa"/>
            <w:left w:w="0" w:type="dxa"/>
            <w:bottom w:w="0" w:type="dxa"/>
            <w:right w:w="0" w:type="dxa"/>
          </w:tblCellMar>
        </w:tblPrEx>
        <w:trPr>
          <w:trHeight w:val="664" w:hRule="atLeast"/>
          <w:jc w:val="center"/>
        </w:trPr>
        <w:tc>
          <w:tcPr>
            <w:tcW w:w="1786"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5B79F39C">
            <w:pPr>
              <w:spacing w:line="360" w:lineRule="auto"/>
              <w:jc w:val="center"/>
              <w:rPr>
                <w:rFonts w:hint="eastAsia" w:ascii="宋体" w:hAnsi="宋体" w:eastAsia="宋体" w:cs="宋体"/>
                <w:color w:val="auto"/>
                <w:szCs w:val="21"/>
                <w:highlight w:val="none"/>
              </w:rPr>
            </w:pPr>
            <w:r>
              <w:rPr>
                <w:rFonts w:hint="eastAsia" w:ascii="宋体" w:hAnsi="宋体" w:eastAsia="宋体" w:cs="宋体"/>
                <w:color w:val="auto"/>
                <w:szCs w:val="21"/>
                <w:highlight w:val="none"/>
              </w:rPr>
              <w:t>……</w:t>
            </w:r>
          </w:p>
        </w:tc>
        <w:tc>
          <w:tcPr>
            <w:tcW w:w="3509"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3A938399">
            <w:pPr>
              <w:spacing w:line="360" w:lineRule="auto"/>
              <w:jc w:val="center"/>
              <w:rPr>
                <w:rFonts w:hint="eastAsia" w:ascii="宋体" w:hAnsi="宋体" w:eastAsia="宋体" w:cs="宋体"/>
                <w:color w:val="auto"/>
                <w:szCs w:val="21"/>
                <w:highlight w:val="none"/>
              </w:rPr>
            </w:pPr>
          </w:p>
        </w:tc>
        <w:tc>
          <w:tcPr>
            <w:tcW w:w="144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1AECD5CD">
            <w:pPr>
              <w:spacing w:line="360" w:lineRule="auto"/>
              <w:jc w:val="center"/>
              <w:rPr>
                <w:rFonts w:hint="eastAsia" w:ascii="宋体" w:hAnsi="宋体" w:eastAsia="宋体" w:cs="宋体"/>
                <w:color w:val="auto"/>
                <w:kern w:val="0"/>
                <w:szCs w:val="21"/>
                <w:highlight w:val="none"/>
                <w:lang w:bidi="ar"/>
              </w:rPr>
            </w:pPr>
          </w:p>
        </w:tc>
        <w:tc>
          <w:tcPr>
            <w:tcW w:w="1080" w:type="dxa"/>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60863C98">
            <w:pPr>
              <w:spacing w:line="360" w:lineRule="auto"/>
              <w:jc w:val="center"/>
              <w:rPr>
                <w:rFonts w:hint="eastAsia" w:ascii="宋体" w:hAnsi="宋体" w:eastAsia="宋体" w:cs="宋体"/>
                <w:color w:val="auto"/>
                <w:szCs w:val="21"/>
                <w:highlight w:val="none"/>
              </w:rPr>
            </w:pPr>
          </w:p>
        </w:tc>
        <w:tc>
          <w:tcPr>
            <w:tcW w:w="900" w:type="dxa"/>
            <w:tcBorders>
              <w:top w:val="single" w:color="000000" w:sz="4" w:space="0"/>
              <w:left w:val="single" w:color="000000" w:sz="4" w:space="0"/>
              <w:bottom w:val="single" w:color="000000" w:sz="4" w:space="0"/>
              <w:right w:val="single" w:color="auto" w:sz="4" w:space="0"/>
            </w:tcBorders>
            <w:noWrap/>
            <w:tcMar>
              <w:top w:w="12" w:type="dxa"/>
              <w:left w:w="12" w:type="dxa"/>
              <w:right w:w="12" w:type="dxa"/>
            </w:tcMar>
            <w:vAlign w:val="center"/>
          </w:tcPr>
          <w:p w14:paraId="6214868A">
            <w:pPr>
              <w:spacing w:line="360" w:lineRule="auto"/>
              <w:jc w:val="center"/>
              <w:rPr>
                <w:rFonts w:hint="eastAsia" w:ascii="宋体" w:hAnsi="宋体" w:eastAsia="宋体" w:cs="宋体"/>
                <w:color w:val="auto"/>
                <w:szCs w:val="21"/>
                <w:highlight w:val="none"/>
              </w:rPr>
            </w:pPr>
          </w:p>
        </w:tc>
      </w:tr>
      <w:tr w14:paraId="00B144D7">
        <w:tblPrEx>
          <w:tblCellMar>
            <w:top w:w="0" w:type="dxa"/>
            <w:left w:w="0" w:type="dxa"/>
            <w:bottom w:w="0" w:type="dxa"/>
            <w:right w:w="0" w:type="dxa"/>
          </w:tblCellMar>
        </w:tblPrEx>
        <w:trPr>
          <w:trHeight w:val="664" w:hRule="atLeast"/>
          <w:jc w:val="center"/>
        </w:trPr>
        <w:tc>
          <w:tcPr>
            <w:tcW w:w="5295" w:type="dxa"/>
            <w:gridSpan w:val="2"/>
            <w:tcBorders>
              <w:top w:val="single" w:color="000000" w:sz="4" w:space="0"/>
              <w:left w:val="single" w:color="000000" w:sz="4" w:space="0"/>
              <w:bottom w:val="single" w:color="000000" w:sz="4" w:space="0"/>
              <w:right w:val="single" w:color="000000" w:sz="4" w:space="0"/>
            </w:tcBorders>
            <w:noWrap w:val="0"/>
            <w:tcMar>
              <w:top w:w="12" w:type="dxa"/>
              <w:left w:w="12" w:type="dxa"/>
              <w:right w:w="12" w:type="dxa"/>
            </w:tcMar>
            <w:vAlign w:val="center"/>
          </w:tcPr>
          <w:p w14:paraId="0EC4B153">
            <w:pPr>
              <w:spacing w:line="360" w:lineRule="auto"/>
              <w:jc w:val="center"/>
              <w:rPr>
                <w:rFonts w:hint="default" w:ascii="宋体" w:hAnsi="宋体" w:eastAsia="宋体" w:cs="宋体"/>
                <w:color w:val="auto"/>
                <w:szCs w:val="21"/>
                <w:highlight w:val="none"/>
                <w:lang w:val="en-US" w:eastAsia="zh-CN"/>
              </w:rPr>
            </w:pPr>
            <w:r>
              <w:rPr>
                <w:rFonts w:hint="eastAsia" w:ascii="宋体" w:hAnsi="宋体" w:eastAsia="宋体" w:cs="宋体"/>
                <w:color w:val="auto"/>
                <w:szCs w:val="21"/>
                <w:highlight w:val="none"/>
                <w:lang w:val="en-US" w:eastAsia="zh-CN"/>
              </w:rPr>
              <w:t>合计（元）</w:t>
            </w:r>
          </w:p>
        </w:tc>
        <w:tc>
          <w:tcPr>
            <w:tcW w:w="3420" w:type="dxa"/>
            <w:gridSpan w:val="3"/>
            <w:tcBorders>
              <w:top w:val="single" w:color="000000" w:sz="4" w:space="0"/>
              <w:left w:val="single" w:color="000000" w:sz="4" w:space="0"/>
              <w:bottom w:val="single" w:color="000000" w:sz="4" w:space="0"/>
              <w:right w:val="single" w:color="auto" w:sz="4" w:space="0"/>
            </w:tcBorders>
            <w:noWrap w:val="0"/>
            <w:tcMar>
              <w:top w:w="12" w:type="dxa"/>
              <w:left w:w="12" w:type="dxa"/>
              <w:right w:w="12" w:type="dxa"/>
            </w:tcMar>
            <w:vAlign w:val="center"/>
          </w:tcPr>
          <w:p w14:paraId="2D906F8A">
            <w:pPr>
              <w:spacing w:line="360" w:lineRule="auto"/>
              <w:jc w:val="center"/>
              <w:rPr>
                <w:rFonts w:hint="eastAsia" w:ascii="宋体" w:hAnsi="宋体" w:eastAsia="宋体" w:cs="宋体"/>
                <w:color w:val="auto"/>
                <w:szCs w:val="21"/>
                <w:highlight w:val="none"/>
              </w:rPr>
            </w:pPr>
          </w:p>
        </w:tc>
      </w:tr>
    </w:tbl>
    <w:p w14:paraId="7AD80CB4">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val="en-US" w:eastAsia="zh-CN"/>
        </w:rPr>
      </w:pPr>
    </w:p>
    <w:p w14:paraId="455CBDCB">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kern w:val="0"/>
          <w:sz w:val="24"/>
          <w:highlight w:val="none"/>
          <w:lang w:val="en-US" w:eastAsia="zh-CN"/>
        </w:rPr>
      </w:pPr>
      <w:r>
        <w:rPr>
          <w:rFonts w:hint="eastAsia" w:ascii="宋体" w:hAnsi="宋体" w:eastAsia="宋体" w:cs="宋体"/>
          <w:color w:val="auto"/>
          <w:kern w:val="0"/>
          <w:sz w:val="24"/>
          <w:highlight w:val="none"/>
          <w:lang w:val="en-US" w:eastAsia="zh-CN"/>
        </w:rPr>
        <w:t>（二）付款方式：</w:t>
      </w:r>
      <w:r>
        <w:rPr>
          <w:rFonts w:hint="eastAsia" w:ascii="宋体" w:hAnsi="宋体" w:eastAsia="宋体" w:cs="宋体"/>
          <w:kern w:val="0"/>
          <w:sz w:val="24"/>
          <w:highlight w:val="none"/>
          <w:lang w:val="en-US" w:eastAsia="zh-CN"/>
        </w:rPr>
        <w:t>全部交货且验收合格后的30天内，采购人向中标供应商支付合同总金额的100%货款，付款前，供应商必须开具全额发票给采购人。</w:t>
      </w:r>
    </w:p>
    <w:p w14:paraId="42F2D878">
      <w:pPr>
        <w:tabs>
          <w:tab w:val="left" w:pos="0"/>
          <w:tab w:val="left" w:pos="437"/>
          <w:tab w:val="left" w:pos="1311"/>
        </w:tabs>
        <w:adjustRightInd w:val="0"/>
        <w:snapToGrid w:val="0"/>
        <w:spacing w:line="360" w:lineRule="auto"/>
        <w:ind w:firstLine="482"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b/>
          <w:bCs/>
          <w:sz w:val="24"/>
          <w:highlight w:val="none"/>
          <w:lang w:val="en-US" w:eastAsia="zh-CN"/>
        </w:rPr>
        <w:t>注：最终合同价款依据投标文件中的单价乘以件数据实结算且总价不能超过最高限价。</w:t>
      </w:r>
    </w:p>
    <w:p w14:paraId="48172EC1">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三</w:t>
      </w:r>
      <w:r>
        <w:rPr>
          <w:rFonts w:hint="eastAsia" w:ascii="宋体" w:hAnsi="宋体" w:eastAsia="宋体" w:cs="宋体"/>
          <w:color w:val="auto"/>
          <w:kern w:val="0"/>
          <w:sz w:val="24"/>
          <w:highlight w:val="none"/>
          <w:lang w:eastAsia="zh-CN"/>
        </w:rPr>
        <w:t>）支付方式：银行转账。</w:t>
      </w:r>
    </w:p>
    <w:p w14:paraId="667AC739">
      <w:pPr>
        <w:tabs>
          <w:tab w:val="left" w:pos="0"/>
          <w:tab w:val="left" w:pos="437"/>
          <w:tab w:val="left" w:pos="1311"/>
        </w:tabs>
        <w:adjustRightInd w:val="0"/>
        <w:snapToGrid w:val="0"/>
        <w:spacing w:line="360" w:lineRule="auto"/>
        <w:ind w:firstLine="480" w:firstLineChars="200"/>
        <w:jc w:val="left"/>
        <w:rPr>
          <w:rFonts w:hint="eastAsia" w:ascii="宋体" w:hAnsi="宋体" w:eastAsia="宋体" w:cs="宋体"/>
          <w:color w:val="auto"/>
          <w:kern w:val="0"/>
          <w:sz w:val="24"/>
          <w:highlight w:val="none"/>
          <w:lang w:eastAsia="zh-CN"/>
        </w:rPr>
      </w:pP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lang w:val="en-US" w:eastAsia="zh-CN"/>
        </w:rPr>
        <w:t>四</w:t>
      </w:r>
      <w:r>
        <w:rPr>
          <w:rFonts w:hint="eastAsia" w:ascii="宋体" w:hAnsi="宋体" w:eastAsia="宋体" w:cs="宋体"/>
          <w:color w:val="auto"/>
          <w:kern w:val="0"/>
          <w:sz w:val="24"/>
          <w:highlight w:val="none"/>
          <w:lang w:eastAsia="zh-CN"/>
        </w:rPr>
        <w:t>）结算方式：</w:t>
      </w:r>
      <w:r>
        <w:rPr>
          <w:rFonts w:hint="eastAsia" w:ascii="宋体" w:hAnsi="宋体" w:eastAsia="宋体" w:cs="宋体"/>
          <w:color w:val="auto"/>
          <w:kern w:val="0"/>
          <w:sz w:val="24"/>
          <w:highlight w:val="none"/>
          <w:lang w:val="en-US" w:eastAsia="zh-CN"/>
        </w:rPr>
        <w:t>最终合同价款依据投标文件中的单价乘以件数据实结算且总价不能超过最高限价</w:t>
      </w:r>
      <w:r>
        <w:rPr>
          <w:rFonts w:hint="eastAsia" w:ascii="宋体" w:hAnsi="宋体" w:eastAsia="宋体" w:cs="宋体"/>
          <w:color w:val="auto"/>
          <w:kern w:val="0"/>
          <w:sz w:val="24"/>
          <w:highlight w:val="none"/>
          <w:lang w:eastAsia="zh-CN"/>
        </w:rPr>
        <w:t>。</w:t>
      </w:r>
    </w:p>
    <w:p w14:paraId="447E543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四、质量保证</w:t>
      </w:r>
      <w:r>
        <w:rPr>
          <w:rFonts w:hint="eastAsia" w:ascii="宋体" w:hAnsi="宋体" w:cs="宋体"/>
          <w:b/>
          <w:bCs/>
          <w:color w:val="auto"/>
          <w:kern w:val="0"/>
          <w:sz w:val="24"/>
          <w:highlight w:val="none"/>
        </w:rPr>
        <w:t>:</w:t>
      </w:r>
    </w:p>
    <w:p w14:paraId="7E0B5460">
      <w:pPr>
        <w:tabs>
          <w:tab w:val="left" w:pos="0"/>
          <w:tab w:val="left" w:pos="437"/>
          <w:tab w:val="left" w:pos="1311"/>
        </w:tabs>
        <w:adjustRightInd w:val="0"/>
        <w:snapToGrid w:val="0"/>
        <w:spacing w:line="360" w:lineRule="auto"/>
        <w:ind w:firstLine="482" w:firstLineChars="200"/>
        <w:jc w:val="left"/>
        <w:rPr>
          <w:rFonts w:ascii="宋体" w:hAnsi="宋体" w:cs="宋体"/>
          <w:color w:val="auto"/>
          <w:kern w:val="0"/>
          <w:sz w:val="24"/>
          <w:highlight w:val="none"/>
        </w:rPr>
      </w:pPr>
      <w:r>
        <w:rPr>
          <w:rFonts w:hint="eastAsia" w:ascii="宋体" w:hAnsi="宋体" w:cs="宋体"/>
          <w:b/>
          <w:color w:val="auto"/>
          <w:kern w:val="0"/>
          <w:sz w:val="24"/>
          <w:highlight w:val="none"/>
        </w:rPr>
        <w:t>1、质保期为验收合格后</w:t>
      </w:r>
      <w:r>
        <w:rPr>
          <w:rFonts w:hint="eastAsia" w:ascii="宋体" w:hAnsi="宋体" w:cs="宋体"/>
          <w:b/>
          <w:color w:val="auto"/>
          <w:kern w:val="0"/>
          <w:sz w:val="24"/>
          <w:highlight w:val="none"/>
          <w:u w:val="single"/>
        </w:rPr>
        <w:t xml:space="preserve"> </w:t>
      </w:r>
      <w:r>
        <w:rPr>
          <w:rFonts w:ascii="宋体" w:hAnsi="宋体" w:cs="宋体"/>
          <w:b/>
          <w:color w:val="auto"/>
          <w:kern w:val="0"/>
          <w:sz w:val="24"/>
          <w:highlight w:val="none"/>
          <w:u w:val="single"/>
        </w:rPr>
        <w:t xml:space="preserve"> </w:t>
      </w:r>
      <w:r>
        <w:rPr>
          <w:rFonts w:hint="eastAsia" w:ascii="宋体" w:hAnsi="宋体" w:cs="宋体"/>
          <w:b/>
          <w:color w:val="auto"/>
          <w:kern w:val="0"/>
          <w:sz w:val="24"/>
          <w:highlight w:val="none"/>
          <w:u w:val="single"/>
          <w:lang w:val="en-US" w:eastAsia="zh-CN"/>
        </w:rPr>
        <w:t xml:space="preserve">                  </w:t>
      </w:r>
      <w:r>
        <w:rPr>
          <w:rFonts w:ascii="宋体" w:hAnsi="宋体" w:cs="宋体"/>
          <w:b/>
          <w:color w:val="auto"/>
          <w:kern w:val="0"/>
          <w:sz w:val="24"/>
          <w:highlight w:val="none"/>
          <w:u w:val="single"/>
        </w:rPr>
        <w:t xml:space="preserve">   </w:t>
      </w:r>
      <w:r>
        <w:rPr>
          <w:rFonts w:hint="eastAsia" w:ascii="宋体" w:hAnsi="宋体" w:cs="宋体"/>
          <w:color w:val="auto"/>
          <w:kern w:val="0"/>
          <w:sz w:val="24"/>
          <w:highlight w:val="none"/>
        </w:rPr>
        <w:t>。</w:t>
      </w:r>
    </w:p>
    <w:p w14:paraId="53A4A52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承诺的质保期起始时间为终验合格之日。</w:t>
      </w:r>
    </w:p>
    <w:p w14:paraId="55439D4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3、所有产品质量必须符合国家有关规范和相关政策。所有</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必须是未使用过的新产品，质量优良、渠道正当，</w:t>
      </w:r>
      <w:r>
        <w:rPr>
          <w:rFonts w:hint="eastAsia" w:ascii="宋体" w:hAnsi="宋体" w:cs="宋体"/>
          <w:color w:val="auto"/>
          <w:kern w:val="0"/>
          <w:sz w:val="24"/>
          <w:highlight w:val="none"/>
          <w:lang w:val="en-US" w:eastAsia="zh-CN"/>
        </w:rPr>
        <w:t>证件齐全</w:t>
      </w:r>
      <w:r>
        <w:rPr>
          <w:rFonts w:hint="eastAsia" w:ascii="宋体" w:hAnsi="宋体" w:cs="宋体"/>
          <w:color w:val="auto"/>
          <w:kern w:val="0"/>
          <w:sz w:val="24"/>
          <w:highlight w:val="none"/>
        </w:rPr>
        <w:t>。</w:t>
      </w:r>
    </w:p>
    <w:p w14:paraId="5B0EAAE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4、质保期出现的质量问题由中标人负责解决并承担所有费用。</w:t>
      </w:r>
    </w:p>
    <w:p w14:paraId="574A78B0">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五、包装和储运</w:t>
      </w:r>
    </w:p>
    <w:p w14:paraId="071E970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szCs w:val="21"/>
          <w:highlight w:val="none"/>
        </w:rPr>
      </w:pPr>
      <w:r>
        <w:rPr>
          <w:rFonts w:hint="eastAsia" w:ascii="宋体" w:hAnsi="宋体" w:cs="宋体"/>
          <w:bCs/>
          <w:color w:val="auto"/>
          <w:kern w:val="0"/>
          <w:sz w:val="24"/>
          <w:szCs w:val="21"/>
          <w:highlight w:val="none"/>
        </w:rPr>
        <w:t>供货</w:t>
      </w:r>
      <w:r>
        <w:rPr>
          <w:rFonts w:hint="eastAsia" w:ascii="宋体" w:hAnsi="宋体" w:cs="宋体"/>
          <w:bCs/>
          <w:color w:val="auto"/>
          <w:kern w:val="0"/>
          <w:sz w:val="24"/>
          <w:szCs w:val="21"/>
          <w:highlight w:val="none"/>
          <w:lang w:val="en-US" w:eastAsia="zh-CN"/>
        </w:rPr>
        <w:t>产品</w:t>
      </w:r>
      <w:r>
        <w:rPr>
          <w:rFonts w:hint="eastAsia" w:ascii="宋体" w:hAnsi="宋体" w:cs="宋体"/>
          <w:bCs/>
          <w:color w:val="auto"/>
          <w:kern w:val="0"/>
          <w:sz w:val="24"/>
          <w:szCs w:val="21"/>
          <w:highlight w:val="none"/>
        </w:rPr>
        <w:t>包装、运输：</w:t>
      </w:r>
      <w:r>
        <w:rPr>
          <w:rFonts w:hint="eastAsia" w:ascii="宋体" w:hAnsi="宋体" w:cs="宋体"/>
          <w:bCs/>
          <w:color w:val="auto"/>
          <w:kern w:val="0"/>
          <w:sz w:val="24"/>
          <w:szCs w:val="21"/>
          <w:highlight w:val="none"/>
          <w:u w:val="single"/>
          <w:lang w:eastAsia="zh-CN"/>
        </w:rPr>
        <w:t>供应商</w:t>
      </w:r>
      <w:r>
        <w:rPr>
          <w:rFonts w:hint="eastAsia" w:ascii="宋体" w:hAnsi="宋体" w:cs="宋体"/>
          <w:bCs/>
          <w:color w:val="auto"/>
          <w:kern w:val="0"/>
          <w:sz w:val="24"/>
          <w:szCs w:val="21"/>
          <w:highlight w:val="none"/>
          <w:u w:val="single"/>
        </w:rPr>
        <w:t>采用包装方式必须符合包装和运输的有关标准。包装应为制造商出厂时的原包装。</w:t>
      </w:r>
      <w:r>
        <w:rPr>
          <w:rFonts w:hint="eastAsia" w:ascii="宋体" w:hAnsi="宋体" w:cs="宋体"/>
          <w:bCs/>
          <w:color w:val="auto"/>
          <w:kern w:val="0"/>
          <w:sz w:val="24"/>
          <w:szCs w:val="21"/>
          <w:highlight w:val="none"/>
          <w:u w:val="single"/>
          <w:lang w:eastAsia="zh-CN"/>
        </w:rPr>
        <w:t>供应商</w:t>
      </w:r>
      <w:r>
        <w:rPr>
          <w:rFonts w:hint="eastAsia" w:ascii="宋体" w:hAnsi="宋体" w:cs="宋体"/>
          <w:bCs/>
          <w:color w:val="auto"/>
          <w:kern w:val="0"/>
          <w:sz w:val="24"/>
          <w:szCs w:val="21"/>
          <w:highlight w:val="none"/>
          <w:u w:val="single"/>
        </w:rPr>
        <w:t>应确保在装、卸、运输和储存过程中有足够的包装保护，防止受潮、被腐蚀、受到冲撞以及其他不可预见的损坏，若</w:t>
      </w:r>
      <w:r>
        <w:rPr>
          <w:rFonts w:hint="eastAsia" w:ascii="宋体" w:hAnsi="宋体" w:cs="宋体"/>
          <w:bCs/>
          <w:color w:val="auto"/>
          <w:kern w:val="0"/>
          <w:sz w:val="24"/>
          <w:szCs w:val="21"/>
          <w:highlight w:val="none"/>
          <w:u w:val="single"/>
          <w:lang w:val="en-US" w:eastAsia="zh-CN"/>
        </w:rPr>
        <w:t>产品</w:t>
      </w:r>
      <w:r>
        <w:rPr>
          <w:rFonts w:hint="eastAsia" w:ascii="宋体" w:hAnsi="宋体" w:cs="宋体"/>
          <w:bCs/>
          <w:color w:val="auto"/>
          <w:kern w:val="0"/>
          <w:sz w:val="24"/>
          <w:szCs w:val="21"/>
          <w:highlight w:val="none"/>
          <w:u w:val="single"/>
        </w:rPr>
        <w:t>在运输过程中发生损毁、损坏，所有损失都由</w:t>
      </w:r>
      <w:r>
        <w:rPr>
          <w:rFonts w:hint="eastAsia" w:ascii="宋体" w:hAnsi="宋体" w:cs="宋体"/>
          <w:bCs/>
          <w:color w:val="auto"/>
          <w:kern w:val="0"/>
          <w:sz w:val="24"/>
          <w:szCs w:val="21"/>
          <w:highlight w:val="none"/>
          <w:u w:val="single"/>
          <w:lang w:eastAsia="zh-CN"/>
        </w:rPr>
        <w:t>供应商</w:t>
      </w:r>
      <w:r>
        <w:rPr>
          <w:rFonts w:hint="eastAsia" w:ascii="宋体" w:hAnsi="宋体" w:cs="宋体"/>
          <w:bCs/>
          <w:color w:val="auto"/>
          <w:kern w:val="0"/>
          <w:sz w:val="24"/>
          <w:szCs w:val="21"/>
          <w:highlight w:val="none"/>
          <w:u w:val="single"/>
        </w:rPr>
        <w:t>承担。</w:t>
      </w:r>
    </w:p>
    <w:p w14:paraId="408C5C28">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六、验收</w:t>
      </w:r>
    </w:p>
    <w:p w14:paraId="5B95A04B">
      <w:pPr>
        <w:tabs>
          <w:tab w:val="left" w:pos="0"/>
          <w:tab w:val="left" w:pos="437"/>
          <w:tab w:val="left" w:pos="1311"/>
        </w:tabs>
        <w:adjustRightInd w:val="0"/>
        <w:snapToGrid w:val="0"/>
        <w:spacing w:line="360" w:lineRule="auto"/>
        <w:ind w:firstLine="480" w:firstLineChars="200"/>
        <w:jc w:val="left"/>
        <w:rPr>
          <w:rFonts w:hint="default" w:ascii="宋体" w:hAnsi="宋体" w:eastAsia="宋体" w:cs="宋体"/>
          <w:color w:val="auto"/>
          <w:kern w:val="0"/>
          <w:sz w:val="24"/>
          <w:highlight w:val="none"/>
          <w:lang w:val="en-US" w:eastAsia="zh-CN"/>
        </w:rPr>
      </w:pPr>
      <w:r>
        <w:rPr>
          <w:rFonts w:hint="eastAsia" w:ascii="宋体" w:hAnsi="宋体" w:cs="宋体"/>
          <w:color w:val="auto"/>
          <w:kern w:val="0"/>
          <w:sz w:val="24"/>
          <w:highlight w:val="none"/>
          <w:lang w:val="en-US" w:eastAsia="zh-CN"/>
        </w:rPr>
        <w:t>1、项目验收</w:t>
      </w:r>
    </w:p>
    <w:p w14:paraId="3F1F9CA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1</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所供产品的规格、数量符合采购文件供应商投标承诺及采购合同约定的要求。</w:t>
      </w:r>
    </w:p>
    <w:p w14:paraId="2A3BF2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2</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所有产品均已运输至指定地点存放，运费由供应商承担。</w:t>
      </w:r>
    </w:p>
    <w:p w14:paraId="0666471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3</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由采购人和供应商共同进行验收。其内容包括产品质量是否达到现行国家有关验收规范“合格”标准进行逐项检查。</w:t>
      </w:r>
    </w:p>
    <w:p w14:paraId="7D4AD76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4</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所有产品使用包装完好、全新的合格产品，不得使用积压材料。</w:t>
      </w:r>
    </w:p>
    <w:p w14:paraId="53638BF2">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lang w:val="en-US" w:eastAsia="zh-CN"/>
        </w:rPr>
        <w:t>5</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生产厂家的企业资质、检验报告、货物的执行标准。</w:t>
      </w:r>
    </w:p>
    <w:p w14:paraId="7465167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验收不合格的中标单位，必须在接到通知后7个日历日内确保货物通过验收。如接到通知后7个日历日内验收仍不合格，采购人可提出索赔或取消其供货合同。采购代理机构将把成交资格授予评审排序下一名的成交单位。</w:t>
      </w:r>
    </w:p>
    <w:p w14:paraId="6E7B145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3、验收依据</w:t>
      </w:r>
    </w:p>
    <w:p w14:paraId="6F0EB0A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 xml:space="preserve">（1）合同文本及合同补充文件（条款）； </w:t>
      </w:r>
    </w:p>
    <w:p w14:paraId="534703F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（2）产品的合法来源渠道证明文件、响应功能证明材料；</w:t>
      </w:r>
    </w:p>
    <w:p w14:paraId="1462DFBA">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（3）招标文件；</w:t>
      </w:r>
    </w:p>
    <w:p w14:paraId="3C5C06D9">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（4）中标人的投标文件；</w:t>
      </w:r>
    </w:p>
    <w:p w14:paraId="6E9C85E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（5）货物清单；</w:t>
      </w:r>
    </w:p>
    <w:p w14:paraId="7D21EB70">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（6）生产厂家的企业资质、货物的执行标准。</w:t>
      </w:r>
    </w:p>
    <w:p w14:paraId="59900AC6">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七、售后服务</w:t>
      </w:r>
    </w:p>
    <w:p w14:paraId="0B981CE4">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质量保证期：自</w:t>
      </w:r>
      <w:r>
        <w:rPr>
          <w:rFonts w:hint="eastAsia" w:ascii="宋体" w:hAnsi="宋体" w:cs="宋体"/>
          <w:color w:val="auto"/>
          <w:kern w:val="0"/>
          <w:sz w:val="24"/>
          <w:highlight w:val="none"/>
        </w:rPr>
        <w:t>项目验收</w:t>
      </w:r>
      <w:r>
        <w:rPr>
          <w:rFonts w:ascii="宋体" w:hAnsi="宋体" w:cs="宋体"/>
          <w:color w:val="auto"/>
          <w:kern w:val="0"/>
          <w:sz w:val="24"/>
          <w:highlight w:val="none"/>
        </w:rPr>
        <w:t>之日起</w:t>
      </w:r>
      <w:r>
        <w:rPr>
          <w:rFonts w:hint="eastAsia" w:ascii="宋体" w:hAnsi="宋体" w:cs="宋体"/>
          <w:color w:val="auto"/>
          <w:kern w:val="0"/>
          <w:sz w:val="24"/>
          <w:highlight w:val="none"/>
          <w:u w:val="single"/>
        </w:rPr>
        <w:t xml:space="preserve"> </w:t>
      </w:r>
      <w:r>
        <w:rPr>
          <w:rFonts w:ascii="宋体" w:hAnsi="宋体" w:cs="宋体"/>
          <w:color w:val="auto"/>
          <w:kern w:val="0"/>
          <w:sz w:val="24"/>
          <w:highlight w:val="none"/>
          <w:u w:val="single"/>
        </w:rPr>
        <w:t xml:space="preserve">           </w:t>
      </w:r>
      <w:r>
        <w:rPr>
          <w:rFonts w:ascii="宋体" w:hAnsi="宋体" w:cs="宋体"/>
          <w:color w:val="auto"/>
          <w:kern w:val="0"/>
          <w:sz w:val="24"/>
          <w:highlight w:val="none"/>
        </w:rPr>
        <w:t>，若该质量保证期小于国家标准，则以国家标准为准。</w:t>
      </w:r>
    </w:p>
    <w:p w14:paraId="79771A2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出现问题后，</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24小时内必须到达现场解决问题，保证</w:t>
      </w:r>
      <w:r>
        <w:rPr>
          <w:rFonts w:hint="eastAsia" w:ascii="宋体" w:hAnsi="宋体" w:cs="宋体"/>
          <w:color w:val="auto"/>
          <w:kern w:val="0"/>
          <w:sz w:val="24"/>
          <w:highlight w:val="none"/>
          <w:lang w:val="en-US" w:eastAsia="zh-CN"/>
        </w:rPr>
        <w:t>产品完好</w:t>
      </w:r>
      <w:r>
        <w:rPr>
          <w:rFonts w:hint="eastAsia" w:ascii="宋体" w:hAnsi="宋体" w:cs="宋体"/>
          <w:color w:val="auto"/>
          <w:kern w:val="0"/>
          <w:sz w:val="24"/>
          <w:highlight w:val="none"/>
        </w:rPr>
        <w:t>。</w:t>
      </w:r>
    </w:p>
    <w:p w14:paraId="6018045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质保期内出现的质量问题由</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负责解决并承担所有费用；质保期后出现问题，</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以优惠的价格提供。</w:t>
      </w:r>
    </w:p>
    <w:p w14:paraId="0FFDA579">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ascii="宋体" w:hAnsi="宋体" w:cs="宋体"/>
          <w:b/>
          <w:bCs/>
          <w:color w:val="auto"/>
          <w:kern w:val="0"/>
          <w:sz w:val="24"/>
          <w:highlight w:val="none"/>
        </w:rPr>
        <w:t>八、技术与服务</w:t>
      </w:r>
    </w:p>
    <w:p w14:paraId="69055E6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1、对技术服务的要求：</w:t>
      </w:r>
    </w:p>
    <w:p w14:paraId="3FD332C5">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2、技术资料：</w:t>
      </w:r>
    </w:p>
    <w:p w14:paraId="72A67D1E">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2-1、产品合格证及检验报告；</w:t>
      </w:r>
    </w:p>
    <w:p w14:paraId="37A27487">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2-2、产品使用说明书（中文）；</w:t>
      </w:r>
    </w:p>
    <w:p w14:paraId="5F8388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3</w:t>
      </w:r>
      <w:r>
        <w:rPr>
          <w:rFonts w:hint="eastAsia" w:ascii="宋体" w:hAnsi="宋体" w:cs="宋体"/>
          <w:color w:val="auto"/>
          <w:kern w:val="0"/>
          <w:sz w:val="24"/>
          <w:highlight w:val="none"/>
        </w:rPr>
        <w:t>、其它资料。</w:t>
      </w:r>
    </w:p>
    <w:p w14:paraId="6D8A282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3、伴随服务</w:t>
      </w:r>
    </w:p>
    <w:p w14:paraId="7DE76FE8">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应随同每套货物提供相应的中文的技术文件。</w:t>
      </w:r>
    </w:p>
    <w:p w14:paraId="067B7BBB">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-1-1、制造厂的检验、测试报告、检验合格证书，计量合格等级证书，质量保证书等文件须随产品提供。</w:t>
      </w:r>
    </w:p>
    <w:p w14:paraId="1A51E1DD">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-1-3、</w:t>
      </w:r>
      <w:r>
        <w:rPr>
          <w:rFonts w:hint="eastAsia" w:ascii="宋体" w:hAnsi="宋体" w:cs="宋体"/>
          <w:color w:val="auto"/>
          <w:kern w:val="0"/>
          <w:sz w:val="24"/>
          <w:highlight w:val="none"/>
          <w:lang w:eastAsia="zh-CN"/>
        </w:rPr>
        <w:t>必需的</w:t>
      </w:r>
      <w:r>
        <w:rPr>
          <w:rFonts w:hint="eastAsia" w:ascii="宋体" w:hAnsi="宋体" w:cs="宋体"/>
          <w:color w:val="auto"/>
          <w:kern w:val="0"/>
          <w:sz w:val="24"/>
          <w:highlight w:val="none"/>
        </w:rPr>
        <w:t>其它技术资料。</w:t>
      </w:r>
    </w:p>
    <w:p w14:paraId="5D7AD88F">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ascii="宋体" w:hAnsi="宋体" w:cs="宋体"/>
          <w:color w:val="auto"/>
          <w:kern w:val="0"/>
          <w:sz w:val="24"/>
          <w:highlight w:val="none"/>
        </w:rPr>
        <w:t>3</w:t>
      </w:r>
      <w:r>
        <w:rPr>
          <w:rFonts w:hint="eastAsia" w:ascii="宋体" w:hAnsi="宋体" w:cs="宋体"/>
          <w:color w:val="auto"/>
          <w:kern w:val="0"/>
          <w:sz w:val="24"/>
          <w:highlight w:val="none"/>
        </w:rPr>
        <w:t>-2、伴随服务的费用已含在合同价中，不单独进行支付。</w:t>
      </w:r>
    </w:p>
    <w:p w14:paraId="5DA9D72E">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（二）服务承诺</w:t>
      </w:r>
    </w:p>
    <w:p w14:paraId="0A094E86">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以</w:t>
      </w:r>
      <w:r>
        <w:rPr>
          <w:rFonts w:hint="eastAsia" w:ascii="宋体" w:hAnsi="宋体" w:cs="宋体"/>
          <w:color w:val="auto"/>
          <w:kern w:val="0"/>
          <w:sz w:val="24"/>
          <w:highlight w:val="none"/>
        </w:rPr>
        <w:t>招标</w:t>
      </w:r>
      <w:r>
        <w:rPr>
          <w:rFonts w:ascii="宋体" w:hAnsi="宋体" w:cs="宋体"/>
          <w:color w:val="auto"/>
          <w:kern w:val="0"/>
          <w:sz w:val="24"/>
          <w:highlight w:val="none"/>
        </w:rPr>
        <w:t>文件、</w:t>
      </w:r>
      <w:r>
        <w:rPr>
          <w:rFonts w:hint="eastAsia" w:ascii="宋体" w:hAnsi="宋体" w:cs="宋体"/>
          <w:color w:val="auto"/>
          <w:kern w:val="0"/>
          <w:sz w:val="24"/>
          <w:highlight w:val="none"/>
        </w:rPr>
        <w:t>投标文件</w:t>
      </w:r>
      <w:r>
        <w:rPr>
          <w:rFonts w:ascii="宋体" w:hAnsi="宋体" w:cs="宋体"/>
          <w:color w:val="auto"/>
          <w:kern w:val="0"/>
          <w:sz w:val="24"/>
          <w:highlight w:val="none"/>
        </w:rPr>
        <w:t>、合同和</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的相关文件为准。</w:t>
      </w:r>
    </w:p>
    <w:p w14:paraId="600C9747">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九、权利和义务</w:t>
      </w:r>
    </w:p>
    <w:p w14:paraId="684C9DF4">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（一）</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权利及义务</w:t>
      </w:r>
    </w:p>
    <w:p w14:paraId="07562605">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根据招标</w:t>
      </w:r>
      <w:r>
        <w:rPr>
          <w:rFonts w:ascii="宋体" w:hAnsi="宋体" w:cs="宋体"/>
          <w:color w:val="auto"/>
          <w:kern w:val="0"/>
          <w:sz w:val="24"/>
          <w:highlight w:val="none"/>
        </w:rPr>
        <w:t>文件</w:t>
      </w:r>
      <w:r>
        <w:rPr>
          <w:rFonts w:hint="eastAsia" w:ascii="宋体" w:hAnsi="宋体" w:cs="宋体"/>
          <w:color w:val="auto"/>
          <w:kern w:val="0"/>
          <w:sz w:val="24"/>
          <w:highlight w:val="none"/>
          <w:lang w:eastAsia="zh-CN"/>
        </w:rPr>
        <w:t>的</w:t>
      </w:r>
      <w:r>
        <w:rPr>
          <w:rFonts w:ascii="宋体" w:hAnsi="宋体" w:cs="宋体"/>
          <w:color w:val="auto"/>
          <w:kern w:val="0"/>
          <w:sz w:val="24"/>
          <w:highlight w:val="none"/>
        </w:rPr>
        <w:t>要求</w:t>
      </w:r>
      <w:r>
        <w:rPr>
          <w:rFonts w:hint="eastAsia" w:ascii="宋体" w:hAnsi="宋体" w:cs="宋体"/>
          <w:color w:val="auto"/>
          <w:kern w:val="0"/>
          <w:sz w:val="24"/>
          <w:highlight w:val="none"/>
        </w:rPr>
        <w:t>对</w:t>
      </w:r>
      <w:r>
        <w:rPr>
          <w:rFonts w:hint="eastAsia" w:ascii="宋体" w:hAnsi="宋体" w:cs="宋体"/>
          <w:color w:val="auto"/>
          <w:kern w:val="0"/>
          <w:sz w:val="24"/>
          <w:highlight w:val="none"/>
          <w:lang w:val="en-US" w:eastAsia="zh-CN"/>
        </w:rPr>
        <w:t>产品</w:t>
      </w:r>
      <w:r>
        <w:rPr>
          <w:rFonts w:ascii="宋体" w:hAnsi="宋体" w:cs="宋体"/>
          <w:color w:val="auto"/>
          <w:kern w:val="0"/>
          <w:sz w:val="24"/>
          <w:highlight w:val="none"/>
        </w:rPr>
        <w:t>进行验收</w:t>
      </w:r>
      <w:r>
        <w:rPr>
          <w:rFonts w:hint="eastAsia" w:ascii="宋体" w:hAnsi="宋体" w:cs="宋体"/>
          <w:color w:val="auto"/>
          <w:kern w:val="0"/>
          <w:sz w:val="24"/>
          <w:highlight w:val="none"/>
        </w:rPr>
        <w:t>。</w:t>
      </w:r>
    </w:p>
    <w:p w14:paraId="682CE2C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采购人</w:t>
      </w:r>
      <w:r>
        <w:rPr>
          <w:rFonts w:hint="eastAsia" w:ascii="宋体" w:hAnsi="宋体" w:cs="宋体"/>
          <w:color w:val="auto"/>
          <w:kern w:val="0"/>
          <w:sz w:val="24"/>
          <w:highlight w:val="none"/>
        </w:rPr>
        <w:t>应按合同约定及时结付服务费用。</w:t>
      </w:r>
    </w:p>
    <w:p w14:paraId="6FF9170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权利及义务</w:t>
      </w:r>
    </w:p>
    <w:p w14:paraId="5E04881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根据招标</w:t>
      </w:r>
      <w:r>
        <w:rPr>
          <w:rFonts w:ascii="宋体" w:hAnsi="宋体" w:cs="宋体"/>
          <w:color w:val="auto"/>
          <w:kern w:val="0"/>
          <w:sz w:val="24"/>
          <w:highlight w:val="none"/>
        </w:rPr>
        <w:t>要求</w:t>
      </w:r>
      <w:r>
        <w:rPr>
          <w:rFonts w:hint="eastAsia" w:ascii="宋体" w:hAnsi="宋体" w:cs="宋体"/>
          <w:color w:val="auto"/>
          <w:kern w:val="0"/>
          <w:sz w:val="24"/>
          <w:highlight w:val="none"/>
        </w:rPr>
        <w:t>，</w:t>
      </w:r>
      <w:r>
        <w:rPr>
          <w:rFonts w:ascii="宋体" w:hAnsi="宋体" w:cs="宋体"/>
          <w:color w:val="auto"/>
          <w:kern w:val="0"/>
          <w:sz w:val="24"/>
          <w:highlight w:val="none"/>
        </w:rPr>
        <w:t>确保</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如期</w:t>
      </w:r>
      <w:r>
        <w:rPr>
          <w:rFonts w:ascii="宋体" w:hAnsi="宋体" w:cs="宋体"/>
          <w:color w:val="auto"/>
          <w:kern w:val="0"/>
          <w:sz w:val="24"/>
          <w:highlight w:val="none"/>
        </w:rPr>
        <w:t>保质保量</w:t>
      </w:r>
      <w:r>
        <w:rPr>
          <w:rFonts w:hint="eastAsia" w:ascii="宋体" w:hAnsi="宋体" w:cs="宋体"/>
          <w:color w:val="auto"/>
          <w:kern w:val="0"/>
          <w:sz w:val="24"/>
          <w:highlight w:val="none"/>
        </w:rPr>
        <w:t>交付。</w:t>
      </w:r>
    </w:p>
    <w:p w14:paraId="7A21E2E2">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确保所供</w:t>
      </w:r>
      <w:r>
        <w:rPr>
          <w:rFonts w:hint="eastAsia" w:ascii="宋体" w:hAnsi="宋体" w:cs="宋体"/>
          <w:color w:val="auto"/>
          <w:kern w:val="0"/>
          <w:sz w:val="24"/>
          <w:highlight w:val="none"/>
          <w:lang w:val="en-US" w:eastAsia="zh-CN"/>
        </w:rPr>
        <w:t>产品</w:t>
      </w:r>
      <w:r>
        <w:rPr>
          <w:rFonts w:hint="eastAsia" w:ascii="宋体" w:hAnsi="宋体" w:cs="宋体"/>
          <w:color w:val="auto"/>
          <w:kern w:val="0"/>
          <w:sz w:val="24"/>
          <w:highlight w:val="none"/>
        </w:rPr>
        <w:t>供货渠道正规、产地及制造商明确，产品销售记录可追溯，生产厂家授权及售后服务承诺函完整。</w:t>
      </w:r>
    </w:p>
    <w:p w14:paraId="596EEDCF">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3、</w:t>
      </w:r>
      <w:r>
        <w:rPr>
          <w:rFonts w:hint="eastAsia" w:ascii="宋体" w:hAnsi="宋体" w:cs="宋体"/>
          <w:color w:val="auto"/>
          <w:kern w:val="0"/>
          <w:sz w:val="24"/>
          <w:highlight w:val="none"/>
          <w:lang w:eastAsia="zh-CN"/>
        </w:rPr>
        <w:t>供应商</w:t>
      </w:r>
      <w:r>
        <w:rPr>
          <w:rFonts w:hint="eastAsia" w:ascii="宋体" w:hAnsi="宋体" w:cs="宋体"/>
          <w:color w:val="auto"/>
          <w:kern w:val="0"/>
          <w:sz w:val="24"/>
          <w:highlight w:val="none"/>
        </w:rPr>
        <w:t>应保证因供货不善而产生的所有风险，并自行承担由此导致的所有法律责任。</w:t>
      </w:r>
    </w:p>
    <w:p w14:paraId="73B1B95E">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w:t>
      </w:r>
      <w:r>
        <w:rPr>
          <w:rFonts w:ascii="宋体" w:hAnsi="宋体" w:cs="宋体"/>
          <w:b/>
          <w:bCs/>
          <w:color w:val="auto"/>
          <w:kern w:val="0"/>
          <w:sz w:val="24"/>
          <w:highlight w:val="none"/>
        </w:rPr>
        <w:t>、争议的解决</w:t>
      </w:r>
    </w:p>
    <w:p w14:paraId="0602AAC7">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因本合同而引起的或与本合同</w:t>
      </w:r>
      <w:r>
        <w:rPr>
          <w:rFonts w:ascii="宋体" w:hAnsi="宋体" w:cs="宋体"/>
          <w:color w:val="auto"/>
          <w:kern w:val="0"/>
          <w:sz w:val="24"/>
          <w:highlight w:val="none"/>
        </w:rPr>
        <w:t>有关的</w:t>
      </w:r>
      <w:r>
        <w:rPr>
          <w:rFonts w:hint="eastAsia" w:ascii="宋体" w:hAnsi="宋体" w:cs="宋体"/>
          <w:color w:val="auto"/>
          <w:kern w:val="0"/>
          <w:sz w:val="24"/>
          <w:highlight w:val="none"/>
        </w:rPr>
        <w:t>任何</w:t>
      </w:r>
      <w:r>
        <w:rPr>
          <w:rFonts w:ascii="宋体" w:hAnsi="宋体" w:cs="宋体"/>
          <w:color w:val="auto"/>
          <w:kern w:val="0"/>
          <w:sz w:val="24"/>
          <w:highlight w:val="none"/>
        </w:rPr>
        <w:t>争议</w:t>
      </w:r>
      <w:r>
        <w:rPr>
          <w:rFonts w:hint="eastAsia" w:ascii="宋体" w:hAnsi="宋体" w:cs="宋体"/>
          <w:color w:val="auto"/>
          <w:kern w:val="0"/>
          <w:sz w:val="24"/>
          <w:highlight w:val="none"/>
        </w:rPr>
        <w:t>，双方应当友好协商解决。如协商未能达成一致时，按</w:t>
      </w:r>
      <w:r>
        <w:rPr>
          <w:rFonts w:ascii="宋体" w:hAnsi="宋体" w:cs="宋体"/>
          <w:color w:val="auto"/>
          <w:kern w:val="0"/>
          <w:sz w:val="24"/>
          <w:highlight w:val="none"/>
        </w:rPr>
        <w:t>以下第</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lang w:val="en-US" w:eastAsia="zh-CN"/>
        </w:rPr>
        <w:t>2</w:t>
      </w:r>
      <w:r>
        <w:rPr>
          <w:rFonts w:hint="eastAsia" w:ascii="宋体" w:hAnsi="宋体" w:cs="宋体"/>
          <w:color w:val="auto"/>
          <w:kern w:val="0"/>
          <w:sz w:val="24"/>
          <w:highlight w:val="none"/>
          <w:u w:val="single"/>
          <w:lang w:eastAsia="zh-CN"/>
        </w:rPr>
        <w:t>）</w:t>
      </w:r>
      <w:r>
        <w:rPr>
          <w:rFonts w:hint="eastAsia" w:ascii="宋体" w:hAnsi="宋体" w:cs="宋体"/>
          <w:color w:val="auto"/>
          <w:kern w:val="0"/>
          <w:sz w:val="24"/>
          <w:highlight w:val="none"/>
          <w:u w:val="single"/>
        </w:rPr>
        <w:t xml:space="preserve">   </w:t>
      </w:r>
      <w:r>
        <w:rPr>
          <w:rFonts w:hint="eastAsia" w:ascii="宋体" w:hAnsi="宋体" w:cs="宋体"/>
          <w:color w:val="auto"/>
          <w:kern w:val="0"/>
          <w:sz w:val="24"/>
          <w:highlight w:val="none"/>
        </w:rPr>
        <w:t>种</w:t>
      </w:r>
      <w:r>
        <w:rPr>
          <w:rFonts w:ascii="宋体" w:hAnsi="宋体" w:cs="宋体"/>
          <w:color w:val="auto"/>
          <w:kern w:val="0"/>
          <w:sz w:val="24"/>
          <w:highlight w:val="none"/>
        </w:rPr>
        <w:t>方式解决</w:t>
      </w:r>
      <w:r>
        <w:rPr>
          <w:rFonts w:hint="eastAsia" w:ascii="宋体" w:hAnsi="宋体" w:cs="宋体"/>
          <w:color w:val="auto"/>
          <w:kern w:val="0"/>
          <w:sz w:val="24"/>
          <w:highlight w:val="none"/>
        </w:rPr>
        <w:t>。</w:t>
      </w:r>
    </w:p>
    <w:p w14:paraId="49D165DA">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（1</w:t>
      </w:r>
      <w:r>
        <w:rPr>
          <w:rFonts w:ascii="宋体" w:hAnsi="宋体" w:cs="宋体"/>
          <w:color w:val="auto"/>
          <w:kern w:val="0"/>
          <w:sz w:val="24"/>
          <w:highlight w:val="none"/>
        </w:rPr>
        <w:t>）</w:t>
      </w:r>
      <w:r>
        <w:rPr>
          <w:rFonts w:hint="eastAsia" w:ascii="宋体" w:hAnsi="宋体" w:cs="宋体"/>
          <w:color w:val="auto"/>
          <w:kern w:val="0"/>
          <w:sz w:val="24"/>
          <w:highlight w:val="none"/>
        </w:rPr>
        <w:t>向有管辖权的人民法院提起诉讼。</w:t>
      </w:r>
    </w:p>
    <w:p w14:paraId="24A09083">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（2</w:t>
      </w:r>
      <w:r>
        <w:rPr>
          <w:rFonts w:ascii="宋体" w:hAnsi="宋体" w:cs="宋体"/>
          <w:color w:val="auto"/>
          <w:kern w:val="0"/>
          <w:sz w:val="24"/>
          <w:highlight w:val="none"/>
        </w:rPr>
        <w:t>）</w:t>
      </w:r>
      <w:r>
        <w:rPr>
          <w:rFonts w:hint="eastAsia" w:ascii="宋体" w:hAnsi="宋体" w:cs="宋体"/>
          <w:color w:val="auto"/>
          <w:kern w:val="0"/>
          <w:sz w:val="24"/>
          <w:highlight w:val="none"/>
        </w:rPr>
        <w:t>向</w:t>
      </w:r>
      <w:r>
        <w:rPr>
          <w:rFonts w:hint="eastAsia" w:ascii="宋体" w:hAnsi="宋体" w:cs="宋体"/>
          <w:color w:val="auto"/>
          <w:kern w:val="0"/>
          <w:sz w:val="24"/>
          <w:highlight w:val="none"/>
          <w:lang w:val="en-US" w:eastAsia="zh-CN"/>
        </w:rPr>
        <w:t>渭南市</w:t>
      </w:r>
      <w:r>
        <w:rPr>
          <w:rFonts w:ascii="宋体" w:hAnsi="宋体" w:cs="宋体"/>
          <w:color w:val="auto"/>
          <w:kern w:val="0"/>
          <w:sz w:val="24"/>
          <w:highlight w:val="none"/>
        </w:rPr>
        <w:t>仲裁委员会</w:t>
      </w:r>
      <w:r>
        <w:rPr>
          <w:rFonts w:hint="eastAsia" w:ascii="宋体" w:hAnsi="宋体" w:cs="宋体"/>
          <w:color w:val="auto"/>
          <w:kern w:val="0"/>
          <w:sz w:val="24"/>
          <w:highlight w:val="none"/>
        </w:rPr>
        <w:t>提起</w:t>
      </w:r>
      <w:r>
        <w:rPr>
          <w:rFonts w:ascii="宋体" w:hAnsi="宋体" w:cs="宋体"/>
          <w:color w:val="auto"/>
          <w:kern w:val="0"/>
          <w:sz w:val="24"/>
          <w:highlight w:val="none"/>
        </w:rPr>
        <w:t>仲裁</w:t>
      </w:r>
      <w:r>
        <w:rPr>
          <w:rFonts w:hint="eastAsia" w:ascii="宋体" w:hAnsi="宋体" w:cs="宋体"/>
          <w:color w:val="auto"/>
          <w:kern w:val="0"/>
          <w:sz w:val="24"/>
          <w:highlight w:val="none"/>
        </w:rPr>
        <w:t>。</w:t>
      </w:r>
    </w:p>
    <w:p w14:paraId="4AD7F3E1">
      <w:pPr>
        <w:tabs>
          <w:tab w:val="left" w:pos="0"/>
          <w:tab w:val="left" w:pos="437"/>
          <w:tab w:val="left" w:pos="1311"/>
        </w:tabs>
        <w:adjustRightInd w:val="0"/>
        <w:snapToGrid w:val="0"/>
        <w:spacing w:line="360" w:lineRule="auto"/>
        <w:ind w:firstLine="482" w:firstLineChars="200"/>
        <w:jc w:val="left"/>
        <w:rPr>
          <w:rFonts w:ascii="宋体" w:hAnsi="宋体" w:cs="宋体"/>
          <w:b/>
          <w:bCs/>
          <w:color w:val="auto"/>
          <w:kern w:val="0"/>
          <w:sz w:val="24"/>
          <w:highlight w:val="none"/>
        </w:rPr>
      </w:pPr>
      <w:r>
        <w:rPr>
          <w:rFonts w:hint="eastAsia" w:ascii="宋体" w:hAnsi="宋体" w:cs="宋体"/>
          <w:b/>
          <w:bCs/>
          <w:color w:val="auto"/>
          <w:kern w:val="0"/>
          <w:sz w:val="24"/>
          <w:highlight w:val="none"/>
        </w:rPr>
        <w:t>十一</w:t>
      </w:r>
      <w:r>
        <w:rPr>
          <w:rFonts w:ascii="宋体" w:hAnsi="宋体" w:cs="宋体"/>
          <w:b/>
          <w:bCs/>
          <w:color w:val="auto"/>
          <w:kern w:val="0"/>
          <w:sz w:val="24"/>
          <w:highlight w:val="none"/>
        </w:rPr>
        <w:t>、违约责任</w:t>
      </w:r>
    </w:p>
    <w:p w14:paraId="77528E9C">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ascii="宋体" w:hAnsi="宋体" w:cs="宋体"/>
          <w:color w:val="auto"/>
          <w:kern w:val="0"/>
          <w:sz w:val="24"/>
          <w:highlight w:val="none"/>
        </w:rPr>
        <w:t>（</w:t>
      </w:r>
      <w:r>
        <w:rPr>
          <w:rFonts w:hint="eastAsia" w:ascii="宋体" w:hAnsi="宋体" w:cs="宋体"/>
          <w:color w:val="auto"/>
          <w:kern w:val="0"/>
          <w:sz w:val="24"/>
          <w:highlight w:val="none"/>
        </w:rPr>
        <w:t>一</w:t>
      </w:r>
      <w:r>
        <w:rPr>
          <w:rFonts w:ascii="宋体" w:hAnsi="宋体" w:cs="宋体"/>
          <w:color w:val="auto"/>
          <w:kern w:val="0"/>
          <w:sz w:val="24"/>
          <w:highlight w:val="none"/>
        </w:rPr>
        <w:t>）未按合同要求提供</w:t>
      </w:r>
      <w:r>
        <w:rPr>
          <w:rFonts w:hint="eastAsia" w:ascii="宋体" w:hAnsi="宋体" w:cs="宋体"/>
          <w:color w:val="auto"/>
          <w:kern w:val="0"/>
          <w:sz w:val="24"/>
          <w:highlight w:val="none"/>
        </w:rPr>
        <w:t>服务</w:t>
      </w:r>
      <w:r>
        <w:rPr>
          <w:rFonts w:ascii="宋体" w:hAnsi="宋体" w:cs="宋体"/>
          <w:color w:val="auto"/>
          <w:kern w:val="0"/>
          <w:sz w:val="24"/>
          <w:highlight w:val="none"/>
        </w:rPr>
        <w:t>或</w:t>
      </w:r>
      <w:r>
        <w:rPr>
          <w:rFonts w:hint="eastAsia" w:ascii="宋体" w:hAnsi="宋体" w:cs="宋体"/>
          <w:color w:val="auto"/>
          <w:kern w:val="0"/>
          <w:sz w:val="24"/>
          <w:highlight w:val="none"/>
        </w:rPr>
        <w:t>服务</w:t>
      </w:r>
      <w:r>
        <w:rPr>
          <w:rFonts w:ascii="宋体" w:hAnsi="宋体" w:cs="宋体"/>
          <w:color w:val="auto"/>
          <w:kern w:val="0"/>
          <w:sz w:val="24"/>
          <w:highlight w:val="none"/>
        </w:rPr>
        <w:t>质量不能满足合同要求，</w:t>
      </w:r>
      <w:r>
        <w:rPr>
          <w:rFonts w:hint="eastAsia" w:ascii="宋体" w:hAnsi="宋体" w:cs="宋体"/>
          <w:color w:val="auto"/>
          <w:kern w:val="0"/>
          <w:sz w:val="24"/>
          <w:highlight w:val="none"/>
        </w:rPr>
        <w:t>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w:t>
      </w:r>
    </w:p>
    <w:p w14:paraId="4FD1D73B">
      <w:pPr>
        <w:tabs>
          <w:tab w:val="left" w:pos="0"/>
          <w:tab w:val="left" w:pos="437"/>
          <w:tab w:val="left" w:pos="1311"/>
        </w:tabs>
        <w:adjustRightInd w:val="0"/>
        <w:snapToGrid w:val="0"/>
        <w:spacing w:line="360" w:lineRule="auto"/>
        <w:ind w:firstLine="480" w:firstLineChars="200"/>
        <w:jc w:val="left"/>
        <w:rPr>
          <w:rFonts w:ascii="宋体" w:hAnsi="宋体" w:cs="宋体"/>
          <w:color w:val="auto"/>
          <w:kern w:val="0"/>
          <w:sz w:val="24"/>
          <w:highlight w:val="none"/>
        </w:rPr>
      </w:pPr>
      <w:r>
        <w:rPr>
          <w:rFonts w:hint="eastAsia" w:ascii="宋体" w:hAnsi="宋体" w:cs="宋体"/>
          <w:color w:val="auto"/>
          <w:kern w:val="0"/>
          <w:sz w:val="24"/>
          <w:highlight w:val="none"/>
        </w:rPr>
        <w:t>（二）其他未尽事宜，</w:t>
      </w:r>
      <w:r>
        <w:rPr>
          <w:rFonts w:ascii="宋体" w:hAnsi="宋体" w:cs="宋体"/>
          <w:color w:val="auto"/>
          <w:kern w:val="0"/>
          <w:sz w:val="24"/>
          <w:highlight w:val="none"/>
        </w:rPr>
        <w:t>按《中华人民共和国</w:t>
      </w:r>
      <w:r>
        <w:rPr>
          <w:rFonts w:hint="eastAsia" w:ascii="宋体" w:hAnsi="宋体" w:cs="宋体"/>
          <w:color w:val="auto"/>
          <w:kern w:val="0"/>
          <w:sz w:val="24"/>
          <w:highlight w:val="none"/>
        </w:rPr>
        <w:t>民法典</w:t>
      </w:r>
      <w:r>
        <w:rPr>
          <w:rFonts w:ascii="宋体" w:hAnsi="宋体" w:cs="宋体"/>
          <w:color w:val="auto"/>
          <w:kern w:val="0"/>
          <w:sz w:val="24"/>
          <w:highlight w:val="none"/>
        </w:rPr>
        <w:t>》中的相关条款执行。</w:t>
      </w:r>
    </w:p>
    <w:p w14:paraId="19511EB0">
      <w:pPr>
        <w:spacing w:line="360" w:lineRule="auto"/>
        <w:ind w:firstLine="482" w:firstLineChars="200"/>
        <w:rPr>
          <w:rFonts w:hint="eastAsia"/>
          <w:b/>
          <w:bCs/>
          <w:color w:val="auto"/>
          <w:sz w:val="24"/>
          <w:highlight w:val="none"/>
        </w:rPr>
      </w:pPr>
      <w:r>
        <w:rPr>
          <w:rFonts w:hint="eastAsia"/>
          <w:b/>
          <w:bCs/>
          <w:color w:val="auto"/>
          <w:sz w:val="24"/>
          <w:highlight w:val="none"/>
        </w:rPr>
        <w:t>十二、其他</w:t>
      </w:r>
    </w:p>
    <w:p w14:paraId="3CE0346C">
      <w:pPr>
        <w:tabs>
          <w:tab w:val="left" w:pos="0"/>
          <w:tab w:val="left" w:pos="437"/>
          <w:tab w:val="left" w:pos="1311"/>
        </w:tabs>
        <w:adjustRightInd w:val="0"/>
        <w:snapToGrid w:val="0"/>
        <w:spacing w:line="360" w:lineRule="auto"/>
        <w:ind w:firstLine="480" w:firstLineChars="200"/>
        <w:jc w:val="left"/>
        <w:rPr>
          <w:rFonts w:hint="eastAsia" w:ascii="宋体" w:hAnsi="宋体" w:cs="宋体"/>
          <w:color w:val="auto"/>
          <w:kern w:val="0"/>
          <w:sz w:val="24"/>
          <w:highlight w:val="none"/>
        </w:rPr>
      </w:pPr>
      <w:r>
        <w:rPr>
          <w:rFonts w:hint="eastAsia" w:ascii="宋体" w:hAnsi="宋体" w:cs="宋体"/>
          <w:color w:val="auto"/>
          <w:kern w:val="0"/>
          <w:sz w:val="24"/>
          <w:highlight w:val="none"/>
        </w:rPr>
        <w:t>1、本合同经采购人、供应商法定代表人或其委托人签字并加盖公章后生效。</w:t>
      </w:r>
    </w:p>
    <w:p w14:paraId="097CD29D">
      <w:pPr>
        <w:bidi w:val="0"/>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rPr>
        <w:t>2、本合同一式六份，采购人、供应商各执两份，其余二份提供给相关单位。</w:t>
      </w:r>
    </w:p>
    <w:p w14:paraId="56E97EA1">
      <w:pPr>
        <w:bidi w:val="0"/>
        <w:ind w:firstLine="480" w:firstLineChars="200"/>
        <w:rPr>
          <w:rFonts w:hint="eastAsia" w:ascii="宋体" w:hAnsi="宋体" w:cs="宋体"/>
          <w:color w:val="auto"/>
          <w:kern w:val="0"/>
          <w:sz w:val="24"/>
          <w:highlight w:val="none"/>
          <w:lang w:val="en-US" w:eastAsia="zh-CN"/>
        </w:rPr>
      </w:pPr>
    </w:p>
    <w:p w14:paraId="51D8A174">
      <w:pPr>
        <w:rPr>
          <w:rFonts w:hint="eastAsia" w:ascii="宋体" w:hAnsi="宋体" w:eastAsia="宋体" w:cs="宋体"/>
          <w:color w:val="auto"/>
          <w:sz w:val="24"/>
          <w:highlight w:val="none"/>
        </w:rPr>
      </w:pPr>
    </w:p>
    <w:p w14:paraId="5C1219B3">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采购人（章）：                           中标人（章）：        </w:t>
      </w:r>
    </w:p>
    <w:p w14:paraId="3A1FEFB5">
      <w:pPr>
        <w:ind w:firstLine="480" w:firstLineChars="200"/>
        <w:rPr>
          <w:rFonts w:hint="eastAsia" w:ascii="宋体" w:hAnsi="宋体" w:eastAsia="宋体" w:cs="宋体"/>
          <w:color w:val="auto"/>
          <w:sz w:val="24"/>
          <w:highlight w:val="none"/>
        </w:rPr>
      </w:pPr>
    </w:p>
    <w:p w14:paraId="42FD577F">
      <w:pPr>
        <w:rPr>
          <w:rFonts w:hint="eastAsia" w:ascii="宋体" w:hAnsi="宋体" w:eastAsia="宋体" w:cs="宋体"/>
          <w:color w:val="auto"/>
          <w:sz w:val="24"/>
          <w:highlight w:val="none"/>
        </w:rPr>
      </w:pPr>
      <w:r>
        <w:rPr>
          <w:rFonts w:hint="eastAsia" w:ascii="宋体" w:hAnsi="宋体" w:eastAsia="宋体" w:cs="宋体"/>
          <w:color w:val="auto"/>
          <w:sz w:val="24"/>
          <w:highlight w:val="none"/>
        </w:rPr>
        <w:t xml:space="preserve">法定代表人                 　          　法定代表人  </w:t>
      </w:r>
    </w:p>
    <w:p w14:paraId="5463E2CE">
      <w:pPr>
        <w:rPr>
          <w:rFonts w:hint="eastAsia" w:ascii="宋体" w:hAnsi="宋体" w:eastAsia="宋体" w:cs="宋体"/>
          <w:color w:val="auto"/>
          <w:sz w:val="24"/>
          <w:highlight w:val="none"/>
        </w:rPr>
      </w:pPr>
      <w:r>
        <w:rPr>
          <w:rFonts w:hint="eastAsia" w:ascii="宋体" w:hAnsi="宋体" w:eastAsia="宋体" w:cs="宋体"/>
          <w:color w:val="auto"/>
          <w:sz w:val="24"/>
          <w:highlight w:val="none"/>
        </w:rPr>
        <w:t>或委托代理人（签字或盖章）：             或委托代理人（签字或盖章）：</w:t>
      </w:r>
    </w:p>
    <w:p w14:paraId="2F308CA3">
      <w:pPr>
        <w:ind w:firstLine="1200" w:firstLineChars="500"/>
        <w:rPr>
          <w:rFonts w:hint="eastAsia" w:ascii="宋体" w:hAnsi="宋体" w:eastAsia="宋体" w:cs="宋体"/>
          <w:color w:val="auto"/>
          <w:sz w:val="24"/>
          <w:highlight w:val="none"/>
        </w:rPr>
      </w:pPr>
    </w:p>
    <w:p w14:paraId="228B1872">
      <w:pPr>
        <w:ind w:firstLine="1200" w:firstLineChars="500"/>
        <w:rPr>
          <w:rFonts w:hint="eastAsia" w:ascii="宋体" w:hAnsi="宋体" w:eastAsia="宋体" w:cs="宋体"/>
          <w:color w:val="auto"/>
          <w:highlight w:val="none"/>
        </w:rPr>
      </w:pPr>
      <w:r>
        <w:rPr>
          <w:rFonts w:hint="eastAsia" w:ascii="宋体" w:hAnsi="宋体" w:eastAsia="宋体" w:cs="宋体"/>
          <w:color w:val="auto"/>
          <w:sz w:val="24"/>
          <w:highlight w:val="none"/>
        </w:rPr>
        <w:t>年   月   日                             年   月   日</w:t>
      </w:r>
      <w:bookmarkStart w:id="0" w:name="_GoBack"/>
      <w:bookmarkEnd w:id="0"/>
    </w:p>
    <w:p w14:paraId="3DF5482B"/>
    <w:sectPr>
      <w:footerReference r:id="rId5" w:type="default"/>
      <w:pgSz w:w="11906" w:h="16838"/>
      <w:pgMar w:top="1417" w:right="1417" w:bottom="1417" w:left="1417" w:header="851" w:footer="992" w:gutter="0"/>
      <w:pgNumType w:fmt="decimal"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Courier New"/>
    <w:panose1 w:val="00000000000000000000"/>
    <w:charset w:val="00"/>
    <w:family w:val="auto"/>
    <w:pitch w:val="default"/>
    <w:sig w:usb0="00000000" w:usb1="00000000" w:usb2="00000000" w:usb3="00000000" w:csb0="00000001"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B20EFC">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0BEADD5">
                          <w:pPr>
                            <w:pStyle w:val="8"/>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文本框 2"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dtC+LIAQAAmQMAAA4AAAAAAAAAAQAgAAAAHgEAAGRycy9lMm9Eb2Mu&#10;eG1sUEsFBgAAAAAGAAYAWQEAAFgFAAAAAA==&#10;">
              <v:fill on="f" focussize="0,0"/>
              <v:stroke on="f"/>
              <v:imagedata o:title=""/>
              <o:lock v:ext="edit" aspectratio="f"/>
              <v:textbox inset="0mm,0mm,0mm,0mm" style="mso-fit-shape-to-text:t;">
                <w:txbxContent>
                  <w:p w14:paraId="20BEADD5">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MwMmY4ODJkNTZmNjA4MTU3ODk3ZTRjOGEwYmVhNGUifQ=="/>
  </w:docVars>
  <w:rsids>
    <w:rsidRoot w:val="00000000"/>
    <w:rsid w:val="010941FC"/>
    <w:rsid w:val="079A613C"/>
    <w:rsid w:val="08F44E17"/>
    <w:rsid w:val="0A6273E5"/>
    <w:rsid w:val="0B5D0AB4"/>
    <w:rsid w:val="0ED90EEF"/>
    <w:rsid w:val="1070516A"/>
    <w:rsid w:val="15E329A1"/>
    <w:rsid w:val="1BE85270"/>
    <w:rsid w:val="1C0F0A4F"/>
    <w:rsid w:val="1D772D50"/>
    <w:rsid w:val="23166B67"/>
    <w:rsid w:val="280A628D"/>
    <w:rsid w:val="287E5795"/>
    <w:rsid w:val="29DE4614"/>
    <w:rsid w:val="2C617665"/>
    <w:rsid w:val="2FDB2CCA"/>
    <w:rsid w:val="309A5536"/>
    <w:rsid w:val="34B70F01"/>
    <w:rsid w:val="39C921EB"/>
    <w:rsid w:val="3CAF1767"/>
    <w:rsid w:val="401776B5"/>
    <w:rsid w:val="40C15F0C"/>
    <w:rsid w:val="411E572C"/>
    <w:rsid w:val="420A0F2A"/>
    <w:rsid w:val="43F6794C"/>
    <w:rsid w:val="46FD7F11"/>
    <w:rsid w:val="47906638"/>
    <w:rsid w:val="4B5210A3"/>
    <w:rsid w:val="4C96649F"/>
    <w:rsid w:val="50044C98"/>
    <w:rsid w:val="53735512"/>
    <w:rsid w:val="539F20DD"/>
    <w:rsid w:val="56A85310"/>
    <w:rsid w:val="5A56726E"/>
    <w:rsid w:val="61D03DA9"/>
    <w:rsid w:val="76355158"/>
    <w:rsid w:val="76B7148E"/>
    <w:rsid w:val="7B2C37CB"/>
    <w:rsid w:val="7FB54FC7"/>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tabs>
        <w:tab w:val="left" w:pos="432"/>
        <w:tab w:val="left" w:pos="576"/>
      </w:tabs>
      <w:ind w:left="431" w:hanging="431"/>
      <w:outlineLvl w:val="0"/>
    </w:pPr>
    <w:rPr>
      <w:kern w:val="44"/>
      <w:sz w:val="44"/>
    </w:rPr>
  </w:style>
  <w:style w:type="character" w:default="1" w:styleId="13">
    <w:name w:val="Default Paragraph Font"/>
    <w:semiHidden/>
    <w:qFormat/>
    <w:uiPriority w:val="0"/>
  </w:style>
  <w:style w:type="table" w:default="1" w:styleId="12">
    <w:name w:val="Normal Table"/>
    <w:semiHidden/>
    <w:uiPriority w:val="0"/>
    <w:tblPr>
      <w:tblCellMar>
        <w:top w:w="0" w:type="dxa"/>
        <w:left w:w="108" w:type="dxa"/>
        <w:bottom w:w="0" w:type="dxa"/>
        <w:right w:w="108" w:type="dxa"/>
      </w:tblCellMar>
    </w:tblPr>
  </w:style>
  <w:style w:type="paragraph" w:styleId="3">
    <w:name w:val="Normal Indent"/>
    <w:basedOn w:val="1"/>
    <w:qFormat/>
    <w:uiPriority w:val="0"/>
    <w:pPr>
      <w:autoSpaceDE w:val="0"/>
      <w:autoSpaceDN w:val="0"/>
      <w:adjustRightInd w:val="0"/>
      <w:spacing w:line="640" w:lineRule="exact"/>
      <w:ind w:firstLine="585"/>
    </w:pPr>
    <w:rPr>
      <w:rFonts w:ascii="??_GB2312" w:eastAsia="Times New Roman"/>
      <w:sz w:val="32"/>
      <w:szCs w:val="32"/>
    </w:rPr>
  </w:style>
  <w:style w:type="paragraph" w:styleId="4">
    <w:name w:val="Body Text"/>
    <w:basedOn w:val="1"/>
    <w:next w:val="1"/>
    <w:qFormat/>
    <w:uiPriority w:val="99"/>
    <w:rPr>
      <w:color w:val="993300"/>
      <w:sz w:val="24"/>
    </w:rPr>
  </w:style>
  <w:style w:type="paragraph" w:styleId="5">
    <w:name w:val="Body Text Indent"/>
    <w:basedOn w:val="1"/>
    <w:next w:val="6"/>
    <w:qFormat/>
    <w:uiPriority w:val="0"/>
    <w:pPr>
      <w:ind w:firstLine="480"/>
    </w:pPr>
    <w:rPr>
      <w:rFonts w:ascii="宋体" w:hAnsi="宋体"/>
    </w:rPr>
  </w:style>
  <w:style w:type="paragraph" w:customStyle="1" w:styleId="6">
    <w:name w:val="Style1"/>
    <w:basedOn w:val="1"/>
    <w:next w:val="7"/>
    <w:qFormat/>
    <w:uiPriority w:val="0"/>
    <w:pPr>
      <w:widowControl/>
      <w:tabs>
        <w:tab w:val="left" w:pos="-720"/>
      </w:tabs>
      <w:spacing w:after="120" w:afterLines="0"/>
    </w:pPr>
    <w:rPr>
      <w:rFonts w:ascii="Times New Roman" w:hAnsi="Times New Roman" w:eastAsia="宋体" w:cs="Times New Roman"/>
      <w:spacing w:val="-3"/>
      <w:kern w:val="0"/>
      <w:sz w:val="24"/>
      <w:szCs w:val="20"/>
      <w:lang w:val="en-AU" w:eastAsia="en-US"/>
    </w:rPr>
  </w:style>
  <w:style w:type="paragraph" w:customStyle="1" w:styleId="7">
    <w:name w:val="*正文"/>
    <w:basedOn w:val="1"/>
    <w:qFormat/>
    <w:uiPriority w:val="0"/>
    <w:pPr>
      <w:ind w:firstLine="200" w:firstLineChars="200"/>
    </w:pPr>
    <w:rPr>
      <w:rFonts w:ascii="宋体" w:hAnsi="宋体"/>
      <w:szCs w:val="22"/>
    </w:rPr>
  </w:style>
  <w:style w:type="paragraph" w:styleId="8">
    <w:name w:val="footer"/>
    <w:basedOn w:val="1"/>
    <w:qFormat/>
    <w:uiPriority w:val="0"/>
    <w:pPr>
      <w:tabs>
        <w:tab w:val="center" w:pos="4153"/>
        <w:tab w:val="right" w:pos="8306"/>
      </w:tabs>
      <w:snapToGrid w:val="0"/>
      <w:jc w:val="left"/>
    </w:pPr>
    <w:rPr>
      <w:sz w:val="18"/>
      <w:szCs w:val="18"/>
    </w:rPr>
  </w:style>
  <w:style w:type="paragraph" w:styleId="9">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toc 4"/>
    <w:basedOn w:val="1"/>
    <w:next w:val="1"/>
    <w:qFormat/>
    <w:uiPriority w:val="0"/>
    <w:pPr>
      <w:tabs>
        <w:tab w:val="left" w:pos="1890"/>
        <w:tab w:val="right" w:leader="dot" w:pos="8296"/>
      </w:tabs>
      <w:ind w:left="630" w:leftChars="300"/>
    </w:pPr>
    <w:rPr>
      <w:rFonts w:ascii="Calibri" w:hAnsi="Calibri"/>
      <w:szCs w:val="22"/>
    </w:rPr>
  </w:style>
  <w:style w:type="paragraph" w:styleId="11">
    <w:name w:val="Title"/>
    <w:basedOn w:val="1"/>
    <w:qFormat/>
    <w:uiPriority w:val="0"/>
    <w:pPr>
      <w:spacing w:before="240" w:after="60"/>
      <w:jc w:val="center"/>
      <w:outlineLvl w:val="0"/>
    </w:pPr>
    <w:rPr>
      <w:rFonts w:ascii="Cambria" w:hAnsi="Cambria"/>
      <w:b/>
      <w:bCs/>
      <w:sz w:val="32"/>
      <w:szCs w:val="32"/>
    </w:rPr>
  </w:style>
  <w:style w:type="paragraph" w:customStyle="1" w:styleId="14">
    <w:name w:val="表格文字"/>
    <w:basedOn w:val="15"/>
    <w:next w:val="1"/>
    <w:qFormat/>
    <w:uiPriority w:val="0"/>
    <w:pPr>
      <w:spacing w:before="25" w:after="25" w:line="300" w:lineRule="auto"/>
    </w:pPr>
    <w:rPr>
      <w:rFonts w:ascii="宋体" w:hAnsi="宋体" w:cs="宋体"/>
      <w:spacing w:val="10"/>
      <w:kern w:val="0"/>
      <w:sz w:val="24"/>
    </w:rPr>
  </w:style>
  <w:style w:type="paragraph" w:customStyle="1" w:styleId="15">
    <w:name w:val="正文 New"/>
    <w:qFormat/>
    <w:uiPriority w:val="99"/>
    <w:pPr>
      <w:widowControl w:val="0"/>
      <w:jc w:val="both"/>
    </w:pPr>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2178</Words>
  <Characters>2207</Characters>
  <Lines>0</Lines>
  <Paragraphs>0</Paragraphs>
  <TotalTime>0</TotalTime>
  <ScaleCrop>false</ScaleCrop>
  <LinksUpToDate>false</LinksUpToDate>
  <CharactersWithSpaces>2473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2024-10-24T01:55:00Z</dcterms:created>
  <dc:creator>新瑞</dc:creator>
  <cp:lastModifiedBy>田晶lovelife</cp:lastModifiedBy>
  <dcterms:modified xsi:type="dcterms:W3CDTF">2025-08-10T07:10:19Z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31E90B52C71049AFBE8C69C70B2A4A15_13</vt:lpwstr>
  </property>
  <property fmtid="{D5CDD505-2E9C-101B-9397-08002B2CF9AE}" pid="4" name="KSOTemplateDocerSaveRecord">
    <vt:lpwstr>eyJoZGlkIjoiYjhkMGZjZGYzZDNmM2JkYzM4YTQzYjJmZTU3OThhMGEiLCJ1c2VySWQiOiI0OTk3NzY1ODMifQ==</vt:lpwstr>
  </property>
</Properties>
</file>