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版本号：ZCSP-渭南市-2025-00740、HL-ZB2507420250915001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结核病耐药筛查试剂采购项目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ZCSP-渭南市-2025-00740、HL-ZB25074</w:t>
      </w:r>
      <w:r>
        <w:br/>
      </w:r>
      <w:r>
        <w:br/>
      </w:r>
      <w:r>
        <w:br/>
      </w:r>
      <w:r>
        <w:br/>
      </w:r>
      <w:r>
        <w:br/>
      </w:r>
    </w:p>
    <w:p>
      <w:pPr>
        <w:pStyle w:val="null3"/>
        <w:jc w:val="center"/>
        <w:outlineLvl w:val="5"/>
      </w:pPr>
      <w:r>
        <w:rPr>
          <w:rFonts w:ascii="仿宋_GB2312" w:hAnsi="仿宋_GB2312" w:cs="仿宋_GB2312" w:eastAsia="仿宋_GB2312"/>
          <w:sz w:val="15"/>
          <w:b/>
        </w:rPr>
        <w:t>渭南市疾病预防控制中心</w:t>
      </w:r>
    </w:p>
    <w:p>
      <w:pPr>
        <w:pStyle w:val="null3"/>
        <w:jc w:val="center"/>
        <w:outlineLvl w:val="5"/>
      </w:pPr>
      <w:r>
        <w:rPr>
          <w:rFonts w:ascii="仿宋_GB2312" w:hAnsi="仿宋_GB2312" w:cs="仿宋_GB2312" w:eastAsia="仿宋_GB2312"/>
          <w:sz w:val="15"/>
          <w:b/>
        </w:rPr>
        <w:t>陕西宏朗工程项目管理有限公司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渭南市疾病预防控制中心</w:t>
      </w:r>
      <w:r>
        <w:rPr>
          <w:rFonts w:ascii="仿宋_GB2312" w:hAnsi="仿宋_GB2312" w:cs="仿宋_GB2312" w:eastAsia="仿宋_GB2312"/>
        </w:rPr>
        <w:t>委托，拟对</w:t>
      </w:r>
      <w:r>
        <w:rPr>
          <w:rFonts w:ascii="仿宋_GB2312" w:hAnsi="仿宋_GB2312" w:cs="仿宋_GB2312" w:eastAsia="仿宋_GB2312"/>
        </w:rPr>
        <w:t>结核病耐药筛查试剂采购项目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ZCSP-渭南市-2025-00740、HL-ZB25074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结核病耐药筛查试剂采购项目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结核分枝杆菌利福平耐药突变检测试剂盒(荧光PCR熔解曲线法)、结核分枝杆菌异烟肼耐药突变检测试剂盒(荧光PCR熔解曲线法)、结核分枝杆菌乙胺丁醇耐药突变检测试剂盒(荧光PCR熔解曲线法)、结核分枝杆菌链霉素耐药突变检测试剂盒(荧光PCR熔解曲线法)、结核分枝杆菌氟喹诺酮类药物耐药突变检测试剂盒(荧光PCR熔解曲线法)、结核分枝杆菌复合群核酸检测试剂盒(实时荧光PCR法)、核酸提取试剂等1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0913-2182132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029-89182390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采购包1：558,200.00元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采购包1：558,200.00元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渭南市疾病预防控制中心</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结核分枝杆菌利福平耐药突变检测试剂盒(荧光PCR熔解曲线法)、结核分枝杆菌异烟肼耐药突变检测试剂盒(荧光PCR熔解曲线法)、结核分枝杆菌乙胺丁醇耐药突变检测试剂盒(荧光PCR熔解曲线法)、结核分枝杆菌链霉素耐药突变检测试剂盒(荧光PCR熔解曲线法)、结核分枝杆菌氟喹诺酮类药物耐药突变检测试剂盒(荧光PCR熔解曲线法)、结核分枝杆菌复合群核酸检测试剂盒(实时荧光PCR法)、核酸提取试剂等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558,200.00</w:t>
      </w:r>
    </w:p>
    <w:p>
      <w:pPr>
        <w:pStyle w:val="null3"/>
      </w:pPr>
      <w:r>
        <w:rPr>
          <w:rFonts w:ascii="仿宋_GB2312" w:hAnsi="仿宋_GB2312" w:cs="仿宋_GB2312" w:eastAsia="仿宋_GB2312"/>
        </w:rPr>
        <w:t>采购包最高限价（元）: 558,200.00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结核病耐药筛查试剂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558,200.00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标的名称：结核病耐药筛查试剂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一、试剂参数</w:t>
            </w:r>
          </w:p>
          <w:p>
            <w:pPr>
              <w:pStyle w:val="null3"/>
              <w:ind w:firstLine="482"/>
              <w:jc w:val="both"/>
            </w:pPr>
            <w:r>
              <w:rPr>
                <w:rFonts w:ascii="仿宋_GB2312" w:hAnsi="仿宋_GB2312" w:cs="仿宋_GB2312" w:eastAsia="仿宋_GB2312"/>
                <w:sz w:val="21"/>
                <w:b/>
              </w:rPr>
              <w:t>结核分枝杆菌核酸提取试剂参数</w:t>
            </w:r>
          </w:p>
          <w:p>
            <w:pPr>
              <w:pStyle w:val="null3"/>
              <w:ind w:firstLine="480"/>
              <w:jc w:val="both"/>
            </w:pPr>
            <w:r>
              <w:rPr>
                <w:rFonts w:ascii="仿宋_GB2312" w:hAnsi="仿宋_GB2312" w:cs="仿宋_GB2312" w:eastAsia="仿宋_GB2312"/>
                <w:sz w:val="21"/>
              </w:rPr>
              <w:t>1、采用磁珠法对结核分枝杆菌核酸进行提取、富集、纯化等，其处理后的产物用于临床体外检测使用</w:t>
            </w:r>
          </w:p>
          <w:p>
            <w:pPr>
              <w:pStyle w:val="null3"/>
              <w:ind w:firstLine="480"/>
              <w:jc w:val="both"/>
            </w:pPr>
            <w:r>
              <w:rPr>
                <w:rFonts w:ascii="仿宋_GB2312" w:hAnsi="仿宋_GB2312" w:cs="仿宋_GB2312" w:eastAsia="仿宋_GB2312"/>
                <w:sz w:val="21"/>
              </w:rPr>
              <w:t>2、采用磁珠吸附转移释放</w:t>
            </w:r>
          </w:p>
          <w:p>
            <w:pPr>
              <w:pStyle w:val="null3"/>
              <w:ind w:firstLine="480"/>
              <w:jc w:val="both"/>
            </w:pPr>
            <w:r>
              <w:rPr>
                <w:rFonts w:ascii="仿宋_GB2312" w:hAnsi="仿宋_GB2312" w:cs="仿宋_GB2312" w:eastAsia="仿宋_GB2312"/>
                <w:sz w:val="21"/>
              </w:rPr>
              <w:t>3、室温（15～30℃）运输，有效期≥6个月</w:t>
            </w:r>
          </w:p>
          <w:p>
            <w:pPr>
              <w:pStyle w:val="null3"/>
              <w:ind w:firstLine="480"/>
              <w:jc w:val="both"/>
            </w:pPr>
            <w:r>
              <w:rPr>
                <w:rFonts w:ascii="仿宋_GB2312" w:hAnsi="仿宋_GB2312" w:cs="仿宋_GB2312" w:eastAsia="仿宋_GB2312"/>
                <w:sz w:val="21"/>
              </w:rPr>
              <w:t>4、完全预分装试剂，无需客户分装，一条试剂提取一个样本</w:t>
            </w:r>
          </w:p>
          <w:p>
            <w:pPr>
              <w:pStyle w:val="null3"/>
              <w:ind w:firstLine="480"/>
              <w:jc w:val="both"/>
            </w:pPr>
            <w:r>
              <w:rPr>
                <w:rFonts w:ascii="仿宋_GB2312" w:hAnsi="仿宋_GB2312" w:cs="仿宋_GB2312" w:eastAsia="仿宋_GB2312"/>
                <w:sz w:val="21"/>
              </w:rPr>
              <w:t>5、适用样本：痰、灌洗液、冲洗液、结核培养菌等</w:t>
            </w:r>
          </w:p>
          <w:p>
            <w:pPr>
              <w:pStyle w:val="null3"/>
              <w:ind w:firstLine="480"/>
              <w:jc w:val="both"/>
            </w:pPr>
            <w:r>
              <w:rPr>
                <w:rFonts w:ascii="仿宋_GB2312" w:hAnsi="仿宋_GB2312" w:cs="仿宋_GB2312" w:eastAsia="仿宋_GB2312"/>
                <w:sz w:val="21"/>
              </w:rPr>
              <w:t>6、单次提取液体 标本体积范围：1µl～2000µl</w:t>
            </w:r>
          </w:p>
          <w:p>
            <w:pPr>
              <w:pStyle w:val="null3"/>
              <w:ind w:firstLine="480"/>
              <w:jc w:val="both"/>
            </w:pPr>
            <w:r>
              <w:rPr>
                <w:rFonts w:ascii="仿宋_GB2312" w:hAnsi="仿宋_GB2312" w:cs="仿宋_GB2312" w:eastAsia="仿宋_GB2312"/>
                <w:sz w:val="21"/>
              </w:rPr>
              <w:t>7、规格：48测试/盒</w:t>
            </w:r>
          </w:p>
          <w:p>
            <w:pPr>
              <w:pStyle w:val="null3"/>
              <w:ind w:firstLine="480"/>
              <w:jc w:val="both"/>
            </w:pPr>
            <w:r>
              <w:rPr>
                <w:rFonts w:ascii="仿宋_GB2312" w:hAnsi="仿宋_GB2312" w:cs="仿宋_GB2312" w:eastAsia="仿宋_GB2312"/>
                <w:sz w:val="21"/>
              </w:rPr>
              <w:t>8、配套Lab-Aid系列核酸提取仪使用</w:t>
            </w:r>
          </w:p>
          <w:p>
            <w:pPr>
              <w:pStyle w:val="null3"/>
              <w:ind w:firstLine="482"/>
              <w:jc w:val="both"/>
            </w:pPr>
            <w:r>
              <w:rPr>
                <w:rFonts w:ascii="仿宋_GB2312" w:hAnsi="仿宋_GB2312" w:cs="仿宋_GB2312" w:eastAsia="仿宋_GB2312"/>
                <w:sz w:val="21"/>
                <w:b/>
              </w:rPr>
              <w:t>结核复合群核酸检测参数</w:t>
            </w:r>
          </w:p>
          <w:p>
            <w:pPr>
              <w:pStyle w:val="null3"/>
              <w:ind w:firstLine="480"/>
              <w:jc w:val="both"/>
            </w:pPr>
            <w:r>
              <w:rPr>
                <w:rFonts w:ascii="仿宋_GB2312" w:hAnsi="仿宋_GB2312" w:cs="仿宋_GB2312" w:eastAsia="仿宋_GB2312"/>
                <w:sz w:val="21"/>
              </w:rPr>
              <w:t>1、使用标本：痰标本等</w:t>
            </w:r>
          </w:p>
          <w:p>
            <w:pPr>
              <w:pStyle w:val="null3"/>
              <w:ind w:firstLine="480"/>
              <w:jc w:val="both"/>
            </w:pPr>
            <w:r>
              <w:rPr>
                <w:rFonts w:ascii="仿宋_GB2312" w:hAnsi="仿宋_GB2312" w:cs="仿宋_GB2312" w:eastAsia="仿宋_GB2312"/>
                <w:sz w:val="21"/>
              </w:rPr>
              <w:t>2、内容物：引物、探针、dNTP/dUTP Mix、Taq酶、UNG酶、内控模板</w:t>
            </w:r>
          </w:p>
          <w:p>
            <w:pPr>
              <w:pStyle w:val="null3"/>
              <w:ind w:firstLine="480"/>
              <w:jc w:val="both"/>
            </w:pPr>
            <w:r>
              <w:rPr>
                <w:rFonts w:ascii="仿宋_GB2312" w:hAnsi="仿宋_GB2312" w:cs="仿宋_GB2312" w:eastAsia="仿宋_GB2312"/>
                <w:sz w:val="21"/>
              </w:rPr>
              <w:t>3、规格：48人份/盒</w:t>
            </w:r>
          </w:p>
          <w:p>
            <w:pPr>
              <w:pStyle w:val="null3"/>
              <w:ind w:firstLine="480"/>
              <w:jc w:val="both"/>
            </w:pPr>
            <w:r>
              <w:rPr>
                <w:rFonts w:ascii="仿宋_GB2312" w:hAnsi="仿宋_GB2312" w:cs="仿宋_GB2312" w:eastAsia="仿宋_GB2312"/>
                <w:sz w:val="21"/>
              </w:rPr>
              <w:t>4、检测方法：实时荧光PCR方法；</w:t>
            </w:r>
          </w:p>
          <w:p>
            <w:pPr>
              <w:pStyle w:val="null3"/>
              <w:ind w:firstLine="480"/>
              <w:jc w:val="both"/>
            </w:pPr>
            <w:r>
              <w:rPr>
                <w:rFonts w:ascii="仿宋_GB2312" w:hAnsi="仿宋_GB2312" w:cs="仿宋_GB2312" w:eastAsia="仿宋_GB2312"/>
                <w:sz w:val="21"/>
              </w:rPr>
              <w:t>5、采用实时荧光PCR方法检测结核分枝杆菌复合群特异的IS6110基因，适用于结核分枝杆菌（TB）的快速检测和筛查。</w:t>
            </w:r>
          </w:p>
          <w:p>
            <w:pPr>
              <w:pStyle w:val="null3"/>
              <w:ind w:firstLine="480"/>
              <w:jc w:val="both"/>
            </w:pPr>
            <w:r>
              <w:rPr>
                <w:rFonts w:ascii="仿宋_GB2312" w:hAnsi="仿宋_GB2312" w:cs="仿宋_GB2312" w:eastAsia="仿宋_GB2312"/>
                <w:sz w:val="21"/>
              </w:rPr>
              <w:t>6、对国家阴性参考品和阳性参考品符合率均为100%，重复性CV≤3%，临床样本阳性符合率、阴性符合率、总符合率均＞95%。</w:t>
            </w:r>
          </w:p>
          <w:p>
            <w:pPr>
              <w:pStyle w:val="null3"/>
              <w:ind w:firstLine="480"/>
              <w:jc w:val="both"/>
            </w:pPr>
            <w:r>
              <w:rPr>
                <w:rFonts w:ascii="仿宋_GB2312" w:hAnsi="仿宋_GB2312" w:cs="仿宋_GB2312" w:eastAsia="仿宋_GB2312"/>
                <w:sz w:val="21"/>
              </w:rPr>
              <w:t>7、最低检出下限：≥10菌/ml；</w:t>
            </w:r>
          </w:p>
          <w:p>
            <w:pPr>
              <w:pStyle w:val="null3"/>
              <w:ind w:firstLine="480"/>
              <w:jc w:val="both"/>
            </w:pPr>
            <w:r>
              <w:rPr>
                <w:rFonts w:ascii="仿宋_GB2312" w:hAnsi="仿宋_GB2312" w:cs="仿宋_GB2312" w:eastAsia="仿宋_GB2312"/>
                <w:sz w:val="21"/>
              </w:rPr>
              <w:t>8、检测时间≤2小时；</w:t>
            </w:r>
          </w:p>
          <w:p>
            <w:pPr>
              <w:pStyle w:val="null3"/>
              <w:ind w:firstLine="480"/>
              <w:jc w:val="both"/>
            </w:pPr>
            <w:r>
              <w:rPr>
                <w:rFonts w:ascii="仿宋_GB2312" w:hAnsi="仿宋_GB2312" w:cs="仿宋_GB2312" w:eastAsia="仿宋_GB2312"/>
                <w:sz w:val="21"/>
              </w:rPr>
              <w:t>9、无需额外仪器判读；</w:t>
            </w:r>
          </w:p>
          <w:p>
            <w:pPr>
              <w:pStyle w:val="null3"/>
              <w:ind w:firstLine="480"/>
              <w:jc w:val="both"/>
            </w:pPr>
            <w:r>
              <w:rPr>
                <w:rFonts w:ascii="仿宋_GB2312" w:hAnsi="仿宋_GB2312" w:cs="仿宋_GB2312" w:eastAsia="仿宋_GB2312"/>
                <w:sz w:val="21"/>
              </w:rPr>
              <w:t>10、稳定性：单管单人份冻干试剂，7天内可常温运输；</w:t>
            </w:r>
          </w:p>
          <w:p>
            <w:pPr>
              <w:pStyle w:val="null3"/>
              <w:ind w:firstLine="480"/>
              <w:jc w:val="both"/>
            </w:pPr>
            <w:r>
              <w:rPr>
                <w:rFonts w:ascii="仿宋_GB2312" w:hAnsi="仿宋_GB2312" w:cs="仿宋_GB2312" w:eastAsia="仿宋_GB2312"/>
                <w:sz w:val="21"/>
              </w:rPr>
              <w:t>11、有效期：≥18个月；</w:t>
            </w:r>
          </w:p>
          <w:p>
            <w:pPr>
              <w:pStyle w:val="null3"/>
              <w:ind w:firstLine="480"/>
              <w:jc w:val="both"/>
            </w:pPr>
            <w:r>
              <w:rPr>
                <w:rFonts w:ascii="仿宋_GB2312" w:hAnsi="仿宋_GB2312" w:cs="仿宋_GB2312" w:eastAsia="仿宋_GB2312"/>
                <w:sz w:val="21"/>
              </w:rPr>
              <w:t>12、质量保证：生产厂家通过ISO9001、ISO13485认证；</w:t>
            </w:r>
          </w:p>
          <w:p>
            <w:pPr>
              <w:pStyle w:val="null3"/>
              <w:ind w:firstLine="480"/>
              <w:jc w:val="both"/>
            </w:pPr>
            <w:r>
              <w:rPr>
                <w:rFonts w:ascii="仿宋_GB2312" w:hAnsi="仿宋_GB2312" w:cs="仿宋_GB2312" w:eastAsia="仿宋_GB2312"/>
                <w:sz w:val="21"/>
              </w:rPr>
              <w:t>13、不受卡介苗和其他非结核分枝杆菌干扰，临床常用的干扰物质药物对检测结果无影响；</w:t>
            </w:r>
          </w:p>
          <w:p>
            <w:pPr>
              <w:pStyle w:val="null3"/>
              <w:ind w:firstLine="482"/>
              <w:jc w:val="both"/>
            </w:pPr>
            <w:r>
              <w:rPr>
                <w:rFonts w:ascii="仿宋_GB2312" w:hAnsi="仿宋_GB2312" w:cs="仿宋_GB2312" w:eastAsia="仿宋_GB2312"/>
                <w:sz w:val="21"/>
                <w:b/>
              </w:rPr>
              <w:t>结核耐药参数</w:t>
            </w:r>
          </w:p>
          <w:p>
            <w:pPr>
              <w:pStyle w:val="null3"/>
              <w:ind w:firstLine="480"/>
              <w:jc w:val="both"/>
            </w:pPr>
            <w:r>
              <w:rPr>
                <w:rFonts w:ascii="仿宋_GB2312" w:hAnsi="仿宋_GB2312" w:cs="仿宋_GB2312" w:eastAsia="仿宋_GB2312"/>
                <w:sz w:val="21"/>
              </w:rPr>
              <w:t>1、基于熔解曲线原理，可检测利福平耐药基因rpoB507～533之间的81bp内任意突变，涵盖95%以上突变；</w:t>
            </w:r>
          </w:p>
          <w:p>
            <w:pPr>
              <w:pStyle w:val="null3"/>
              <w:ind w:firstLine="480"/>
              <w:jc w:val="both"/>
            </w:pPr>
            <w:r>
              <w:rPr>
                <w:rFonts w:ascii="仿宋_GB2312" w:hAnsi="仿宋_GB2312" w:cs="仿宋_GB2312" w:eastAsia="仿宋_GB2312"/>
                <w:sz w:val="21"/>
              </w:rPr>
              <w:t>可检测异烟肼耐药突变位点的检测区域范围为：ahpC启动子区、inhA94密码子、inhA启动子区位点以及katG315密码子；</w:t>
            </w:r>
          </w:p>
          <w:p>
            <w:pPr>
              <w:pStyle w:val="null3"/>
              <w:ind w:firstLine="480"/>
              <w:jc w:val="both"/>
            </w:pPr>
            <w:r>
              <w:rPr>
                <w:rFonts w:ascii="仿宋_GB2312" w:hAnsi="仿宋_GB2312" w:cs="仿宋_GB2312" w:eastAsia="仿宋_GB2312"/>
                <w:sz w:val="21"/>
              </w:rPr>
              <w:t>可检测乙胺丁醇耐药突变位点的检测区域范围为：embB基因306位密码子（突变频率：61.3%～72.7%）、406位密码子（突变频率：7.5%～23.5%）和497位密码子（突变频率：12.9%～29.4%），检测位点对乙胺丁醇耐药检测的覆盖率为72.7%～80.6%；</w:t>
            </w:r>
          </w:p>
          <w:p>
            <w:pPr>
              <w:pStyle w:val="null3"/>
              <w:ind w:firstLine="480"/>
              <w:jc w:val="both"/>
            </w:pPr>
            <w:r>
              <w:rPr>
                <w:rFonts w:ascii="仿宋_GB2312" w:hAnsi="仿宋_GB2312" w:cs="仿宋_GB2312" w:eastAsia="仿宋_GB2312"/>
                <w:sz w:val="21"/>
              </w:rPr>
              <w:t>可检测链霉素耐药突变位点的检测区域范围为：rpsL基因43位密码子（突变频率:62.1%～77.1%）和88位密码子（突变频率:6.1%～18.9%）以及rrs基因513～517位点（突变频率:6.9%～15.2%），检测区域对链霉素耐药检测的覆盖率为84.3%～88.9%；</w:t>
            </w:r>
          </w:p>
          <w:p>
            <w:pPr>
              <w:pStyle w:val="null3"/>
              <w:ind w:firstLine="480"/>
              <w:jc w:val="both"/>
            </w:pPr>
            <w:r>
              <w:rPr>
                <w:rFonts w:ascii="仿宋_GB2312" w:hAnsi="仿宋_GB2312" w:cs="仿宋_GB2312" w:eastAsia="仿宋_GB2312"/>
                <w:sz w:val="21"/>
              </w:rPr>
              <w:t>可检测氟喹诺酮类药物耐药突变位点的检测区域范围为：gyrA基因88～94位密码子；</w:t>
            </w:r>
          </w:p>
          <w:p>
            <w:pPr>
              <w:pStyle w:val="null3"/>
              <w:ind w:firstLine="480"/>
              <w:jc w:val="both"/>
            </w:pPr>
            <w:r>
              <w:rPr>
                <w:rFonts w:ascii="仿宋_GB2312" w:hAnsi="仿宋_GB2312" w:cs="仿宋_GB2312" w:eastAsia="仿宋_GB2312"/>
                <w:sz w:val="21"/>
              </w:rPr>
              <w:t>2、最低检出限：≥1×105菌/mL；</w:t>
            </w:r>
          </w:p>
          <w:p>
            <w:pPr>
              <w:pStyle w:val="null3"/>
              <w:ind w:firstLine="480"/>
              <w:jc w:val="both"/>
            </w:pPr>
            <w:r>
              <w:rPr>
                <w:rFonts w:ascii="仿宋_GB2312" w:hAnsi="仿宋_GB2312" w:cs="仿宋_GB2312" w:eastAsia="仿宋_GB2312"/>
                <w:sz w:val="21"/>
              </w:rPr>
              <w:t>3、可以检测不均一耐药；</w:t>
            </w:r>
          </w:p>
          <w:p>
            <w:pPr>
              <w:pStyle w:val="null3"/>
              <w:ind w:firstLine="480"/>
              <w:jc w:val="both"/>
            </w:pPr>
            <w:r>
              <w:rPr>
                <w:rFonts w:ascii="仿宋_GB2312" w:hAnsi="仿宋_GB2312" w:cs="仿宋_GB2312" w:eastAsia="仿宋_GB2312"/>
                <w:sz w:val="21"/>
              </w:rPr>
              <w:t>4、野生型符合率：100％（参考品）；</w:t>
            </w:r>
          </w:p>
          <w:p>
            <w:pPr>
              <w:pStyle w:val="null3"/>
              <w:ind w:firstLine="480"/>
              <w:jc w:val="both"/>
            </w:pPr>
            <w:r>
              <w:rPr>
                <w:rFonts w:ascii="仿宋_GB2312" w:hAnsi="仿宋_GB2312" w:cs="仿宋_GB2312" w:eastAsia="仿宋_GB2312"/>
                <w:sz w:val="21"/>
              </w:rPr>
              <w:t>5、突变型符合率：100％（参考品）；</w:t>
            </w:r>
          </w:p>
          <w:p>
            <w:pPr>
              <w:pStyle w:val="null3"/>
              <w:ind w:firstLine="480"/>
              <w:jc w:val="both"/>
            </w:pPr>
            <w:r>
              <w:rPr>
                <w:rFonts w:ascii="仿宋_GB2312" w:hAnsi="仿宋_GB2312" w:cs="仿宋_GB2312" w:eastAsia="仿宋_GB2312"/>
                <w:sz w:val="21"/>
              </w:rPr>
              <w:t>6、重复性：Tm值波动范围≤±1℃；</w:t>
            </w:r>
          </w:p>
          <w:p>
            <w:pPr>
              <w:pStyle w:val="null3"/>
              <w:ind w:firstLine="480"/>
              <w:jc w:val="both"/>
            </w:pPr>
            <w:r>
              <w:rPr>
                <w:rFonts w:ascii="仿宋_GB2312" w:hAnsi="仿宋_GB2312" w:cs="仿宋_GB2312" w:eastAsia="仿宋_GB2312"/>
                <w:sz w:val="21"/>
              </w:rPr>
              <w:t>7、利福平试剂盒的临床试验与药敏试验结果相比较，灵敏度（真阳性率）≥95%，临床特异性（真阴性率）≥95%；</w:t>
            </w:r>
          </w:p>
          <w:p>
            <w:pPr>
              <w:pStyle w:val="null3"/>
              <w:ind w:firstLine="480"/>
              <w:jc w:val="both"/>
            </w:pPr>
            <w:r>
              <w:rPr>
                <w:rFonts w:ascii="仿宋_GB2312" w:hAnsi="仿宋_GB2312" w:cs="仿宋_GB2312" w:eastAsia="仿宋_GB2312"/>
                <w:sz w:val="21"/>
              </w:rPr>
              <w:t>异烟肼试剂盒的临床试验与药敏试验结果相比较，灵敏度（真阳性率）≥90%，临床特异性（真阴性率）≥96%；</w:t>
            </w:r>
          </w:p>
          <w:p>
            <w:pPr>
              <w:pStyle w:val="null3"/>
              <w:ind w:firstLine="480"/>
              <w:jc w:val="both"/>
            </w:pPr>
            <w:r>
              <w:rPr>
                <w:rFonts w:ascii="仿宋_GB2312" w:hAnsi="仿宋_GB2312" w:cs="仿宋_GB2312" w:eastAsia="仿宋_GB2312"/>
                <w:sz w:val="21"/>
              </w:rPr>
              <w:t>乙胺丁醇试剂盒的临床试验与药敏试验结果相比较，灵敏度（真阳性率）≥85%，临床特异性（真阴性率）≥95%；</w:t>
            </w:r>
          </w:p>
          <w:p>
            <w:pPr>
              <w:pStyle w:val="null3"/>
              <w:ind w:firstLine="480"/>
              <w:jc w:val="both"/>
            </w:pPr>
            <w:r>
              <w:rPr>
                <w:rFonts w:ascii="仿宋_GB2312" w:hAnsi="仿宋_GB2312" w:cs="仿宋_GB2312" w:eastAsia="仿宋_GB2312"/>
                <w:sz w:val="21"/>
              </w:rPr>
              <w:t>链霉素试剂盒的临床试验与药敏试验结果相比较，灵敏度（真阳性率）≥85%，临床特异性（真阴性率）≥95%；</w:t>
            </w:r>
          </w:p>
          <w:p>
            <w:pPr>
              <w:pStyle w:val="null3"/>
              <w:ind w:firstLine="480"/>
              <w:jc w:val="both"/>
            </w:pPr>
            <w:r>
              <w:rPr>
                <w:rFonts w:ascii="仿宋_GB2312" w:hAnsi="仿宋_GB2312" w:cs="仿宋_GB2312" w:eastAsia="仿宋_GB2312"/>
                <w:sz w:val="21"/>
              </w:rPr>
              <w:t>氟喹诺酮试剂盒的临床试验与药敏试验结果相比较，灵敏度（真阳性率）≥87%，临床特异性（真阴性率）≥98%；</w:t>
            </w:r>
          </w:p>
          <w:p>
            <w:pPr>
              <w:pStyle w:val="null3"/>
              <w:ind w:firstLine="480"/>
              <w:jc w:val="both"/>
            </w:pPr>
            <w:r>
              <w:rPr>
                <w:rFonts w:ascii="仿宋_GB2312" w:hAnsi="仿宋_GB2312" w:cs="仿宋_GB2312" w:eastAsia="仿宋_GB2312"/>
                <w:sz w:val="21"/>
              </w:rPr>
              <w:t>8、检测效率：在获得DNA样本后，≤3小时内。</w:t>
            </w:r>
          </w:p>
          <w:p>
            <w:pPr>
              <w:pStyle w:val="null3"/>
              <w:ind w:firstLine="480"/>
              <w:jc w:val="both"/>
            </w:pPr>
            <w:r>
              <w:rPr>
                <w:rFonts w:ascii="仿宋_GB2312" w:hAnsi="仿宋_GB2312" w:cs="仿宋_GB2312" w:eastAsia="仿宋_GB2312"/>
                <w:sz w:val="21"/>
              </w:rPr>
              <w:t>9、PCR扩增检测全程闭管操作。</w:t>
            </w:r>
          </w:p>
          <w:p>
            <w:pPr>
              <w:pStyle w:val="null3"/>
              <w:ind w:firstLine="480"/>
              <w:jc w:val="both"/>
            </w:pPr>
            <w:r>
              <w:rPr>
                <w:rFonts w:ascii="仿宋_GB2312" w:hAnsi="仿宋_GB2312" w:cs="仿宋_GB2312" w:eastAsia="仿宋_GB2312"/>
                <w:sz w:val="21"/>
              </w:rPr>
              <w:t>10、PCR扩增与产物分析仪器自动完成，无需PCR后处理，仪器自动给出结果。</w:t>
            </w:r>
          </w:p>
          <w:p>
            <w:pPr>
              <w:pStyle w:val="null3"/>
              <w:jc w:val="both"/>
            </w:pPr>
            <w:r>
              <w:rPr>
                <w:rFonts w:ascii="仿宋_GB2312" w:hAnsi="仿宋_GB2312" w:cs="仿宋_GB2312" w:eastAsia="仿宋_GB2312"/>
                <w:sz w:val="21"/>
              </w:rPr>
              <w:t>11、基于样本熔点值与阳性对照熔点值是否有差异判定是否含有突变。</w:t>
            </w:r>
          </w:p>
          <w:p>
            <w:pPr>
              <w:pStyle w:val="null3"/>
              <w:jc w:val="both"/>
            </w:pPr>
            <w:r>
              <w:rPr>
                <w:rFonts w:ascii="仿宋_GB2312" w:hAnsi="仿宋_GB2312" w:cs="仿宋_GB2312" w:eastAsia="仿宋_GB2312"/>
                <w:sz w:val="21"/>
                <w:b/>
              </w:rPr>
              <w:t>二、最高单价</w:t>
            </w:r>
          </w:p>
          <w:p>
            <w:pPr>
              <w:pStyle w:val="null3"/>
              <w:ind w:firstLine="480"/>
              <w:jc w:val="both"/>
            </w:pPr>
            <w:r>
              <w:rPr>
                <w:rFonts w:ascii="仿宋_GB2312" w:hAnsi="仿宋_GB2312" w:cs="仿宋_GB2312" w:eastAsia="仿宋_GB2312"/>
                <w:sz w:val="21"/>
              </w:rPr>
              <w:t>1.结核分枝杆菌复合群检测试剂盒(实时荧光PCR法)48人份/盒：146.00元/人份</w:t>
            </w:r>
          </w:p>
          <w:p>
            <w:pPr>
              <w:pStyle w:val="null3"/>
              <w:ind w:firstLine="480"/>
              <w:jc w:val="both"/>
            </w:pPr>
            <w:r>
              <w:rPr>
                <w:rFonts w:ascii="仿宋_GB2312" w:hAnsi="仿宋_GB2312" w:cs="仿宋_GB2312" w:eastAsia="仿宋_GB2312"/>
                <w:sz w:val="21"/>
              </w:rPr>
              <w:t>2.结核分枝杆菌核酸提取试剂盒48人份/盒：73.00元/盒</w:t>
            </w:r>
          </w:p>
          <w:p>
            <w:pPr>
              <w:pStyle w:val="null3"/>
              <w:ind w:firstLine="480"/>
              <w:jc w:val="both"/>
            </w:pPr>
            <w:r>
              <w:rPr>
                <w:rFonts w:ascii="仿宋_GB2312" w:hAnsi="仿宋_GB2312" w:cs="仿宋_GB2312" w:eastAsia="仿宋_GB2312"/>
                <w:sz w:val="21"/>
              </w:rPr>
              <w:t>3.结核分枝杆菌异烟肼耐药检测试剂盒（荧光PCR溶解曲线法）48人份/盒：166.00元/人份</w:t>
            </w:r>
          </w:p>
          <w:p>
            <w:pPr>
              <w:pStyle w:val="null3"/>
              <w:ind w:firstLine="480"/>
              <w:jc w:val="both"/>
            </w:pPr>
            <w:r>
              <w:rPr>
                <w:rFonts w:ascii="仿宋_GB2312" w:hAnsi="仿宋_GB2312" w:cs="仿宋_GB2312" w:eastAsia="仿宋_GB2312"/>
                <w:sz w:val="21"/>
              </w:rPr>
              <w:t>4.结核分枝杆菌利福平耐药检测试剂盒（荧光PCR溶解曲线法）48人份/盒：166.00元/人份</w:t>
            </w:r>
          </w:p>
          <w:p>
            <w:pPr>
              <w:pStyle w:val="null3"/>
              <w:ind w:firstLine="480"/>
              <w:jc w:val="both"/>
            </w:pPr>
            <w:r>
              <w:rPr>
                <w:rFonts w:ascii="仿宋_GB2312" w:hAnsi="仿宋_GB2312" w:cs="仿宋_GB2312" w:eastAsia="仿宋_GB2312"/>
                <w:sz w:val="21"/>
              </w:rPr>
              <w:t>5.结核分枝杆菌氟喹诺酮耐药突变检测试剂盒（荧光PCR溶解曲线法）48人份/盒：166.00元/人份</w:t>
            </w:r>
          </w:p>
          <w:p>
            <w:pPr>
              <w:pStyle w:val="null3"/>
              <w:ind w:firstLine="480"/>
              <w:jc w:val="both"/>
            </w:pPr>
            <w:r>
              <w:rPr>
                <w:rFonts w:ascii="仿宋_GB2312" w:hAnsi="仿宋_GB2312" w:cs="仿宋_GB2312" w:eastAsia="仿宋_GB2312"/>
                <w:sz w:val="21"/>
              </w:rPr>
              <w:t>6.结核分枝杆菌链霉素耐药突变检测试剂盒（荧光PCR溶解曲线法）48人份/盒：166.00元/人份</w:t>
            </w:r>
          </w:p>
          <w:p>
            <w:pPr>
              <w:pStyle w:val="null3"/>
              <w:jc w:val="both"/>
            </w:pPr>
            <w:r>
              <w:rPr>
                <w:rFonts w:ascii="仿宋_GB2312" w:hAnsi="仿宋_GB2312" w:cs="仿宋_GB2312" w:eastAsia="仿宋_GB2312"/>
                <w:sz w:val="21"/>
              </w:rPr>
              <w:t>7.结核分枝杆菌乙胺丁醇耐药突变检测试剂盒（荧光PCR溶解曲线法）48人份/盒：166.00元/人份</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合同签订之日起一年；供货期：根据采购人工作实际需求对产品进行分批供应，在接到采购人通知后2个工作日内完成供货。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全年供货完成并经采购人确认后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（1）应有产品合格证、产品说明书、用户手册、质保证明材料以及相应产品的检定证书和其他应具有的单证；（2）质量符合国家法律法规规定的合格标准、采购文件、响应文件的要求。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投标方案说明 响应文件封面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详见附件：渭南市疾病预防控制中心结核病耐药筛查试剂采购项目-合同范本.docx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