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版本号：ZCSP-渭南市-2025-00735、HL-ZB2507620250915001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新冠病毒本土变异检测试剂采购项目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ZCSP-渭南市-2025-00735、HL-ZB25076</w:t>
      </w:r>
      <w:r>
        <w:br/>
      </w:r>
      <w:r>
        <w:br/>
      </w:r>
      <w:r>
        <w:br/>
      </w:r>
      <w:r>
        <w:br/>
      </w:r>
      <w:r>
        <w:br/>
      </w:r>
    </w:p>
    <w:p>
      <w:pPr>
        <w:pStyle w:val="null3"/>
        <w:jc w:val="center"/>
        <w:outlineLvl w:val="5"/>
      </w:pPr>
      <w:r>
        <w:rPr>
          <w:rFonts w:ascii="仿宋_GB2312" w:hAnsi="仿宋_GB2312" w:cs="仿宋_GB2312" w:eastAsia="仿宋_GB2312"/>
          <w:sz w:val="15"/>
          <w:b/>
        </w:rPr>
        <w:t>渭南市疾病预防控制中心</w:t>
      </w:r>
    </w:p>
    <w:p>
      <w:pPr>
        <w:pStyle w:val="null3"/>
        <w:jc w:val="center"/>
        <w:outlineLvl w:val="5"/>
      </w:pPr>
      <w:r>
        <w:rPr>
          <w:rFonts w:ascii="仿宋_GB2312" w:hAnsi="仿宋_GB2312" w:cs="仿宋_GB2312" w:eastAsia="仿宋_GB2312"/>
          <w:sz w:val="15"/>
          <w:b/>
        </w:rPr>
        <w:t>陕西宏朗工程项目管理有限公司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渭南市疾病预防控制中心</w:t>
      </w:r>
      <w:r>
        <w:rPr>
          <w:rFonts w:ascii="仿宋_GB2312" w:hAnsi="仿宋_GB2312" w:cs="仿宋_GB2312" w:eastAsia="仿宋_GB2312"/>
        </w:rPr>
        <w:t>委托，拟对</w:t>
      </w:r>
      <w:r>
        <w:rPr>
          <w:rFonts w:ascii="仿宋_GB2312" w:hAnsi="仿宋_GB2312" w:cs="仿宋_GB2312" w:eastAsia="仿宋_GB2312"/>
        </w:rPr>
        <w:t>新冠病毒本土变异检测试剂采购项目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ZCSP-渭南市-2025-00735、HL-ZB25076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新冠病毒本土变异检测试剂采购项目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新冠病毒本土变异检测试剂1批，详见采购文件。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0913-2182132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陕西省西安市雁塔区西部电子社区A座C区181号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029-89182390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渭南市疾病预防控制中心</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陕西宏朗工程项目管理有限公司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新冠病毒本土变异检测试剂耗材1批。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新冠病毒变异监测试剂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标的名称：新冠病毒变异监测试剂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37"/>
              <w:gridCol w:w="1674"/>
              <w:gridCol w:w="392"/>
              <w:gridCol w:w="237"/>
            </w:tblGrid>
            <w:tr>
              <w:tc>
                <w:tcPr>
                  <w:tcW w:type="dxa" w:w="23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167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产品名称</w:t>
                  </w:r>
                </w:p>
              </w:tc>
              <w:tc>
                <w:tcPr>
                  <w:tcW w:type="dxa" w:w="39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规格型号</w:t>
                  </w:r>
                </w:p>
              </w:tc>
              <w:tc>
                <w:tcPr>
                  <w:tcW w:type="dxa" w:w="237"/>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最高单价（元）</w:t>
                  </w:r>
                </w:p>
              </w:tc>
            </w:tr>
            <w:tr>
              <w:tc>
                <w:tcPr>
                  <w:tcW w:type="dxa" w:w="237"/>
                  <w:vMerge/>
                  <w:tcBorders>
                    <w:top w:val="single" w:color="000000" w:sz="4"/>
                    <w:left w:val="single" w:color="000000" w:sz="4"/>
                    <w:bottom w:val="single" w:color="000000" w:sz="4"/>
                    <w:right w:val="single" w:color="000000" w:sz="4"/>
                  </w:tcBorders>
                </w:tcPr>
                <w:p/>
              </w:tc>
              <w:tc>
                <w:tcPr>
                  <w:tcW w:type="dxa" w:w="1674"/>
                  <w:vMerge/>
                  <w:tcBorders>
                    <w:top w:val="single" w:color="000000" w:sz="4"/>
                    <w:left w:val="single" w:color="000000" w:sz="4"/>
                    <w:bottom w:val="single" w:color="000000" w:sz="4"/>
                    <w:right w:val="single" w:color="000000" w:sz="4"/>
                  </w:tcBorders>
                </w:tcPr>
                <w:p/>
              </w:tc>
              <w:tc>
                <w:tcPr>
                  <w:tcW w:type="dxa" w:w="392"/>
                  <w:vMerge/>
                  <w:tcBorders>
                    <w:top w:val="single" w:color="000000" w:sz="4"/>
                    <w:left w:val="single" w:color="000000" w:sz="4"/>
                    <w:bottom w:val="single" w:color="000000" w:sz="4"/>
                    <w:right w:val="single" w:color="000000" w:sz="4"/>
                  </w:tcBorders>
                </w:tcPr>
                <w:p/>
              </w:tc>
              <w:tc>
                <w:tcPr>
                  <w:tcW w:type="dxa" w:w="237"/>
                  <w:vMerge/>
                  <w:tcBorders>
                    <w:top w:val="single" w:color="000000" w:sz="4"/>
                    <w:left w:val="single" w:color="000000" w:sz="4"/>
                    <w:bottom w:val="single" w:color="000000" w:sz="4"/>
                    <w:right w:val="none" w:color="000000" w:sz="4"/>
                  </w:tcBorders>
                </w:tcP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ATOPlex RNA</w:t>
                  </w:r>
                  <w:r>
                    <w:rPr>
                      <w:rFonts w:ascii="仿宋_GB2312" w:hAnsi="仿宋_GB2312" w:cs="仿宋_GB2312" w:eastAsia="仿宋_GB2312"/>
                      <w:sz w:val="24"/>
                      <w:color w:val="000000"/>
                    </w:rPr>
                    <w:t>多重</w:t>
                  </w:r>
                  <w:r>
                    <w:rPr>
                      <w:rFonts w:ascii="仿宋_GB2312" w:hAnsi="仿宋_GB2312" w:cs="仿宋_GB2312" w:eastAsia="仿宋_GB2312"/>
                      <w:sz w:val="24"/>
                      <w:color w:val="000000"/>
                    </w:rPr>
                    <w:t>PCR</w:t>
                  </w:r>
                  <w:r>
                    <w:rPr>
                      <w:rFonts w:ascii="仿宋_GB2312" w:hAnsi="仿宋_GB2312" w:cs="仿宋_GB2312" w:eastAsia="仿宋_GB2312"/>
                      <w:sz w:val="24"/>
                      <w:color w:val="000000"/>
                    </w:rPr>
                    <w:t>建库试剂盒套装</w:t>
                  </w:r>
                  <w:r>
                    <w:rPr>
                      <w:rFonts w:ascii="仿宋_GB2312" w:hAnsi="仿宋_GB2312" w:cs="仿宋_GB2312" w:eastAsia="仿宋_GB2312"/>
                      <w:sz w:val="24"/>
                      <w:color w:val="000000"/>
                    </w:rPr>
                    <w:t>V3.1</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16 反应/盒</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8020.00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DNBSEQ-G99RS</w:t>
                  </w:r>
                  <w:r>
                    <w:rPr>
                      <w:rFonts w:ascii="仿宋_GB2312" w:hAnsi="仿宋_GB2312" w:cs="仿宋_GB2312" w:eastAsia="仿宋_GB2312"/>
                      <w:sz w:val="24"/>
                      <w:color w:val="000000"/>
                    </w:rPr>
                    <w:t>高通量测序试剂套装</w:t>
                  </w:r>
                  <w:r>
                    <w:rPr>
                      <w:rFonts w:ascii="仿宋_GB2312" w:hAnsi="仿宋_GB2312" w:cs="仿宋_GB2312" w:eastAsia="仿宋_GB2312"/>
                      <w:sz w:val="24"/>
                      <w:color w:val="000000"/>
                    </w:rPr>
                    <w:t>(G99 FCL SE100/PE50)G99 FCL SE100/PE50120 Cycles/Set</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120 循环/套</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3850.00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DNBSEQ</w:t>
                  </w:r>
                  <w:r>
                    <w:rPr>
                      <w:rFonts w:ascii="仿宋_GB2312" w:hAnsi="仿宋_GB2312" w:cs="仿宋_GB2312" w:eastAsia="仿宋_GB2312"/>
                      <w:sz w:val="24"/>
                      <w:color w:val="000000"/>
                    </w:rPr>
                    <w:t>一步法</w:t>
                  </w:r>
                  <w:r>
                    <w:rPr>
                      <w:rFonts w:ascii="仿宋_GB2312" w:hAnsi="仿宋_GB2312" w:cs="仿宋_GB2312" w:eastAsia="仿宋_GB2312"/>
                      <w:sz w:val="24"/>
                      <w:color w:val="000000"/>
                    </w:rPr>
                    <w:t>DNB</w:t>
                  </w:r>
                  <w:r>
                    <w:rPr>
                      <w:rFonts w:ascii="仿宋_GB2312" w:hAnsi="仿宋_GB2312" w:cs="仿宋_GB2312" w:eastAsia="仿宋_GB2312"/>
                      <w:sz w:val="24"/>
                      <w:color w:val="000000"/>
                    </w:rPr>
                    <w:t>制备试剂盒</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4 反应/盒</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DNBSEQ-G99RS </w:t>
                  </w:r>
                  <w:r>
                    <w:rPr>
                      <w:rFonts w:ascii="仿宋_GB2312" w:hAnsi="仿宋_GB2312" w:cs="仿宋_GB2312" w:eastAsia="仿宋_GB2312"/>
                      <w:sz w:val="24"/>
                      <w:color w:val="000000"/>
                    </w:rPr>
                    <w:t>清洗试剂盒（</w:t>
                  </w:r>
                  <w:r>
                    <w:rPr>
                      <w:rFonts w:ascii="仿宋_GB2312" w:hAnsi="仿宋_GB2312" w:cs="仿宋_GB2312" w:eastAsia="仿宋_GB2312"/>
                      <w:sz w:val="24"/>
                      <w:color w:val="000000"/>
                    </w:rPr>
                    <w:t>G99 SM FCL</w:t>
                  </w:r>
                  <w:r>
                    <w:rPr>
                      <w:rFonts w:ascii="仿宋_GB2312" w:hAnsi="仿宋_GB2312" w:cs="仿宋_GB2312" w:eastAsia="仿宋_GB2312"/>
                      <w:sz w:val="24"/>
                      <w:color w:val="000000"/>
                    </w:rPr>
                    <w:t>）</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1次/盒</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460.00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MGIEasy Fast</w:t>
                  </w:r>
                  <w:r>
                    <w:rPr>
                      <w:rFonts w:ascii="仿宋_GB2312" w:hAnsi="仿宋_GB2312" w:cs="仿宋_GB2312" w:eastAsia="仿宋_GB2312"/>
                      <w:sz w:val="24"/>
                      <w:color w:val="000000"/>
                    </w:rPr>
                    <w:t>酶切文库制备试剂套装</w:t>
                  </w:r>
                  <w:r>
                    <w:rPr>
                      <w:rFonts w:ascii="仿宋_GB2312" w:hAnsi="仿宋_GB2312" w:cs="仿宋_GB2312" w:eastAsia="仿宋_GB2312"/>
                      <w:sz w:val="24"/>
                      <w:color w:val="000000"/>
                    </w:rPr>
                    <w:t>V2.0/16 RXN</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16反应/盒</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5900.00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DNBSEQ-G99RS</w:t>
                  </w:r>
                  <w:r>
                    <w:rPr>
                      <w:rFonts w:ascii="仿宋_GB2312" w:hAnsi="仿宋_GB2312" w:cs="仿宋_GB2312" w:eastAsia="仿宋_GB2312"/>
                      <w:sz w:val="24"/>
                      <w:color w:val="000000"/>
                    </w:rPr>
                    <w:t>高通量测序试剂套装</w:t>
                  </w:r>
                  <w:r>
                    <w:rPr>
                      <w:rFonts w:ascii="仿宋_GB2312" w:hAnsi="仿宋_GB2312" w:cs="仿宋_GB2312" w:eastAsia="仿宋_GB2312"/>
                      <w:sz w:val="24"/>
                      <w:color w:val="000000"/>
                    </w:rPr>
                    <w:t>(G99 FCLPE150)G99 FCLPE150320 Cycles/Set</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320 循环/套</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5955.00</w:t>
                  </w:r>
                </w:p>
              </w:tc>
            </w:tr>
            <w:tr>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6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MGISP-100</w:t>
                  </w:r>
                  <w:r>
                    <w:rPr>
                      <w:rFonts w:ascii="仿宋_GB2312" w:hAnsi="仿宋_GB2312" w:cs="仿宋_GB2312" w:eastAsia="仿宋_GB2312"/>
                      <w:sz w:val="24"/>
                      <w:color w:val="000000"/>
                    </w:rPr>
                    <w:t>通用耗材包</w:t>
                  </w:r>
                </w:p>
              </w:tc>
              <w:tc>
                <w:tcPr>
                  <w:tcW w:type="dxa" w:w="39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20 Run/套</w:t>
                  </w:r>
                </w:p>
              </w:tc>
              <w:tc>
                <w:tcPr>
                  <w:tcW w:type="dxa" w:w="2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14700.00</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合同签订之日起一年；供货期：根据采购人工作实际需求对产品进行分批供应，在接到采购人通知后2个工作日内完成供货。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渭南市疾病预防控制中心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全年供货完成并经采购人确认后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（1）应有产品合格证、产品说明书、用户手册、质保证明材料以及相应产品的检定证书和其他应具有的单证；（2）质量符合国家法律法规规定的合格标准、采购文件、响应文件的要求。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交付系统的，每逾期1日，应向采购人赔付合同总价的0.1%作为违约金。4、供应商所交系统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分项报价表 中小企业声明函 技术要求响应表 报价表 商务要求响应表 投标方案说明 响应文件封面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详见附件：渭南市疾病预防控制中心新冠病毒本土变异检测试剂采购项目合同范本.docx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