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版本号：ZCSP-渭南市-2025-00720、DLCG2025-06220250902001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2025年渭南乡村旅游品牌宣传推广项目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ZCSP-渭南市-2025-00720、DLCG2025-062</w:t>
      </w:r>
      <w:r>
        <w:br/>
      </w:r>
      <w:r>
        <w:br/>
      </w:r>
      <w:r>
        <w:br/>
      </w:r>
    </w:p>
    <w:p>
      <w:pPr>
        <w:pStyle w:val="null3"/>
        <w:jc w:val="center"/>
        <w:outlineLvl w:val="5"/>
      </w:pPr>
      <w:r>
        <w:rPr>
          <w:rFonts w:ascii="仿宋_GB2312" w:hAnsi="仿宋_GB2312" w:cs="仿宋_GB2312" w:eastAsia="仿宋_GB2312"/>
          <w:sz w:val="15"/>
          <w:b/>
        </w:rPr>
        <w:t>渭南市文化和旅游局</w:t>
      </w:r>
    </w:p>
    <w:p>
      <w:pPr>
        <w:pStyle w:val="null3"/>
        <w:jc w:val="center"/>
        <w:outlineLvl w:val="5"/>
      </w:pPr>
      <w:r>
        <w:rPr>
          <w:rFonts w:ascii="仿宋_GB2312" w:hAnsi="仿宋_GB2312" w:cs="仿宋_GB2312" w:eastAsia="仿宋_GB2312"/>
          <w:sz w:val="15"/>
          <w:b/>
        </w:rPr>
        <w:t>陕西鼎力中创项目管理有限公司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2025年渭南乡村旅游品牌宣传推广项目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ZCSP-渭南市-2025-00720、DLCG2025-062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2025年渭南乡村旅游品牌宣传推广项目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为提升“渭南乡村旅游”品牌认知度，通过精准引流推动目标村落游客量增长，拟实施2025年渭南乡村旅游品牌宣传推广项目采购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陕西省渭南市临渭区乐天大街碧桂园翡翠公馆北门商铺2层208号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为提升“渭南乡村旅游”品牌认知度，通过精准引流推动目标村落游客量增长，拟实施2025年渭南乡村旅游品牌宣传推广项目采购。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2025年渭南乡村旅游品牌宣传推广项目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标的名称：2025年渭南乡村旅游品牌宣传推广项目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宣传推广方式</w:t>
            </w:r>
          </w:p>
          <w:p>
            <w:pPr>
              <w:pStyle w:val="null3"/>
              <w:ind w:firstLine="640"/>
              <w:jc w:val="both"/>
            </w:pPr>
            <w:r>
              <w:rPr>
                <w:rFonts w:ascii="仿宋_GB2312" w:hAnsi="仿宋_GB2312" w:cs="仿宋_GB2312" w:eastAsia="仿宋_GB2312"/>
                <w:sz w:val="21"/>
              </w:rPr>
              <w:t>电视端农林卫视大屏微纪录片+广播端农村广播专栏和嘉宾访谈+新媒体平台矩阵宣推（起点新闻+抖音/快手/视频号等</w:t>
            </w:r>
            <w:r>
              <w:rPr>
                <w:rFonts w:ascii="仿宋_GB2312" w:hAnsi="仿宋_GB2312" w:cs="仿宋_GB2312" w:eastAsia="仿宋_GB2312"/>
                <w:sz w:val="21"/>
              </w:rPr>
              <w:t>短视频平台</w:t>
            </w:r>
            <w:r>
              <w:rPr>
                <w:rFonts w:ascii="仿宋_GB2312" w:hAnsi="仿宋_GB2312" w:cs="仿宋_GB2312" w:eastAsia="仿宋_GB2312"/>
                <w:sz w:val="21"/>
              </w:rPr>
              <w:t>+学习强国、头条号、网易新闻、腾讯新闻等平台），具体要求见下表：</w:t>
            </w:r>
          </w:p>
          <w:tbl>
            <w:tblPr>
              <w:tblBorders>
                <w:top w:val="none" w:color="000000" w:sz="4"/>
                <w:left w:val="none" w:color="000000" w:sz="4"/>
                <w:bottom w:val="none" w:color="000000" w:sz="4"/>
                <w:right w:val="none" w:color="000000" w:sz="4"/>
                <w:insideH w:val="none"/>
                <w:insideV w:val="none"/>
              </w:tblBorders>
            </w:tblPr>
            <w:tblGrid>
              <w:gridCol w:w="323"/>
              <w:gridCol w:w="1298"/>
              <w:gridCol w:w="922"/>
            </w:tblGrid>
            <w:tr>
              <w:tc>
                <w:tcPr>
                  <w:tcW w:type="dxa" w:w="323"/>
                  <w:tcBorders>
                    <w:top w:val="single" w:color="000000" w:sz="4"/>
                    <w:left w:val="single" w:color="000000" w:sz="4"/>
                    <w:bottom w:val="single" w:color="000000" w:sz="4"/>
                    <w:right w:val="single" w:color="000000" w:sz="4"/>
                  </w:tcBorders>
                  <w:tcMar>
                    <w:top w:type="dxa" w:w="150"/>
                    <w:left w:type="dxa" w:w="0"/>
                    <w:bottom w:type="dxa" w:w="150"/>
                    <w:right w:type="dxa" w:w="150"/>
                  </w:tcMar>
                  <w:vAlign w:val="top"/>
                </w:tcPr>
                <w:p>
                  <w:pPr>
                    <w:pStyle w:val="null3"/>
                    <w:jc w:val="center"/>
                  </w:pPr>
                  <w:r>
                    <w:rPr>
                      <w:rFonts w:ascii="仿宋_GB2312" w:hAnsi="仿宋_GB2312" w:cs="仿宋_GB2312" w:eastAsia="仿宋_GB2312"/>
                      <w:sz w:val="21"/>
                    </w:rPr>
                    <w:t>项目</w:t>
                  </w:r>
                </w:p>
              </w:tc>
              <w:tc>
                <w:tcPr>
                  <w:tcW w:type="dxa" w:w="1298"/>
                  <w:tcBorders>
                    <w:top w:val="singl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1"/>
                    </w:rPr>
                    <w:t>主要内容</w:t>
                  </w:r>
                </w:p>
              </w:tc>
              <w:tc>
                <w:tcPr>
                  <w:tcW w:type="dxa" w:w="922"/>
                  <w:tcBorders>
                    <w:top w:val="singl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1"/>
                    </w:rPr>
                    <w:t>期数/时长</w:t>
                  </w:r>
                </w:p>
              </w:tc>
            </w:tr>
            <w:tr>
              <w:tc>
                <w:tcPr>
                  <w:tcW w:type="dxa" w:w="323"/>
                  <w:vMerge w:val="restart"/>
                  <w:tcBorders>
                    <w:top w:val="none" w:color="000000" w:sz="4"/>
                    <w:left w:val="single" w:color="000000" w:sz="4"/>
                    <w:bottom w:val="single" w:color="000000" w:sz="4"/>
                    <w:right w:val="single" w:color="000000" w:sz="4"/>
                  </w:tcBorders>
                  <w:tcMar>
                    <w:top w:type="dxa" w:w="150"/>
                    <w:left w:type="dxa" w:w="0"/>
                    <w:bottom w:type="dxa" w:w="150"/>
                    <w:right w:type="dxa" w:w="150"/>
                  </w:tcMar>
                  <w:vAlign w:val="top"/>
                </w:tcPr>
                <w:p>
                  <w:pPr>
                    <w:pStyle w:val="null3"/>
                    <w:jc w:val="center"/>
                  </w:pPr>
                  <w:r>
                    <w:rPr>
                      <w:rFonts w:ascii="仿宋_GB2312" w:hAnsi="仿宋_GB2312" w:cs="仿宋_GB2312" w:eastAsia="仿宋_GB2312"/>
                      <w:sz w:val="21"/>
                    </w:rPr>
                    <w:t>广播端</w:t>
                  </w: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文旅专栏《渭南乡村记忆》</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≥30期，每期≥5分钟</w:t>
                  </w:r>
                </w:p>
              </w:tc>
            </w:tr>
            <w:tr>
              <w:tc>
                <w:tcPr>
                  <w:tcW w:type="dxa" w:w="323"/>
                  <w:vMerge/>
                  <w:tcBorders>
                    <w:top w:val="none" w:color="000000" w:sz="4"/>
                    <w:left w:val="single" w:color="000000" w:sz="4"/>
                    <w:bottom w:val="single" w:color="000000" w:sz="4"/>
                    <w:right w:val="single" w:color="000000" w:sz="4"/>
                  </w:tcBorders>
                </w:tcP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《谝闲传·走四方》系列访谈</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≥10期，每期≥25分钟</w:t>
                  </w:r>
                </w:p>
              </w:tc>
            </w:tr>
            <w:tr>
              <w:tc>
                <w:tcPr>
                  <w:tcW w:type="dxa" w:w="323"/>
                  <w:vMerge w:val="restart"/>
                  <w:tcBorders>
                    <w:top w:val="none" w:color="000000" w:sz="4"/>
                    <w:left w:val="single" w:color="000000" w:sz="4"/>
                    <w:bottom w:val="single" w:color="000000" w:sz="4"/>
                    <w:right w:val="single" w:color="000000" w:sz="4"/>
                  </w:tcBorders>
                  <w:tcMar>
                    <w:top w:type="dxa" w:w="150"/>
                    <w:left w:type="dxa" w:w="0"/>
                    <w:bottom w:type="dxa" w:w="150"/>
                    <w:right w:type="dxa" w:w="150"/>
                  </w:tcMar>
                  <w:vAlign w:val="top"/>
                </w:tcPr>
                <w:p>
                  <w:pPr>
                    <w:pStyle w:val="null3"/>
                    <w:jc w:val="center"/>
                  </w:pPr>
                  <w:r>
                    <w:rPr>
                      <w:rFonts w:ascii="仿宋_GB2312" w:hAnsi="仿宋_GB2312" w:cs="仿宋_GB2312" w:eastAsia="仿宋_GB2312"/>
                      <w:sz w:val="21"/>
                    </w:rPr>
                    <w:t>电视端</w:t>
                  </w: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微纪录片《渭南十二时辰·乡村篇》</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≥1期，≥8分钟</w:t>
                  </w:r>
                </w:p>
              </w:tc>
            </w:tr>
            <w:tr>
              <w:tc>
                <w:tcPr>
                  <w:tcW w:type="dxa" w:w="323"/>
                  <w:vMerge/>
                  <w:tcBorders>
                    <w:top w:val="none" w:color="000000" w:sz="4"/>
                    <w:left w:val="single" w:color="000000" w:sz="4"/>
                    <w:bottom w:val="single" w:color="000000" w:sz="4"/>
                    <w:right w:val="single" w:color="000000" w:sz="4"/>
                  </w:tcBorders>
                </w:tcP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微纪录片《渭南乡味》</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≥3集，每集≥5分钟</w:t>
                  </w:r>
                </w:p>
              </w:tc>
            </w:tr>
            <w:tr>
              <w:tc>
                <w:tcPr>
                  <w:tcW w:type="dxa" w:w="323"/>
                  <w:vMerge w:val="restart"/>
                  <w:tcBorders>
                    <w:top w:val="none" w:color="000000" w:sz="4"/>
                    <w:left w:val="single" w:color="000000" w:sz="4"/>
                    <w:bottom w:val="single" w:color="000000" w:sz="4"/>
                    <w:right w:val="single" w:color="000000" w:sz="4"/>
                  </w:tcBorders>
                  <w:tcMar>
                    <w:top w:type="dxa" w:w="150"/>
                    <w:left w:type="dxa" w:w="0"/>
                    <w:bottom w:type="dxa" w:w="150"/>
                    <w:right w:type="dxa" w:w="150"/>
                  </w:tcMar>
                  <w:vAlign w:val="top"/>
                </w:tcPr>
                <w:p>
                  <w:pPr>
                    <w:pStyle w:val="null3"/>
                    <w:jc w:val="center"/>
                  </w:pPr>
                  <w:r>
                    <w:rPr>
                      <w:rFonts w:ascii="仿宋_GB2312" w:hAnsi="仿宋_GB2312" w:cs="仿宋_GB2312" w:eastAsia="仿宋_GB2312"/>
                      <w:sz w:val="21"/>
                    </w:rPr>
                    <w:t>新媒体端</w:t>
                  </w: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起点新闻平台：拟推出“寻味渭南·乡遇千年”为主题的渭南市乡村旅游专题</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≥4期</w:t>
                  </w:r>
                </w:p>
              </w:tc>
            </w:tr>
            <w:tr>
              <w:tc>
                <w:tcPr>
                  <w:tcW w:type="dxa" w:w="323"/>
                  <w:vMerge/>
                  <w:tcBorders>
                    <w:top w:val="none" w:color="000000" w:sz="4"/>
                    <w:left w:val="single" w:color="000000" w:sz="4"/>
                    <w:bottom w:val="single" w:color="000000" w:sz="4"/>
                    <w:right w:val="single" w:color="000000" w:sz="4"/>
                  </w:tcBorders>
                </w:tcP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抖音/快手/视频号等短视频平台“主播电带你游渭南——乡村奇遇记”</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≥5期</w:t>
                  </w:r>
                </w:p>
              </w:tc>
            </w:tr>
            <w:tr>
              <w:tc>
                <w:tcPr>
                  <w:tcW w:type="dxa" w:w="323"/>
                  <w:vMerge/>
                  <w:tcBorders>
                    <w:top w:val="none" w:color="000000" w:sz="4"/>
                    <w:left w:val="single" w:color="000000" w:sz="4"/>
                    <w:bottom w:val="single" w:color="000000" w:sz="4"/>
                    <w:right w:val="single" w:color="000000" w:sz="4"/>
                  </w:tcBorders>
                </w:tcP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小红书/微信公众号图文连载“渭南乡韵·千年一村”</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≥5期</w:t>
                  </w:r>
                </w:p>
              </w:tc>
            </w:tr>
            <w:tr>
              <w:tc>
                <w:tcPr>
                  <w:tcW w:type="dxa" w:w="323"/>
                  <w:tcBorders>
                    <w:top w:val="none" w:color="000000" w:sz="4"/>
                    <w:left w:val="single" w:color="000000" w:sz="4"/>
                    <w:bottom w:val="single" w:color="000000" w:sz="4"/>
                    <w:right w:val="single" w:color="000000" w:sz="4"/>
                  </w:tcBorders>
                  <w:tcMar>
                    <w:top w:type="dxa" w:w="150"/>
                    <w:left w:type="dxa" w:w="0"/>
                    <w:bottom w:type="dxa" w:w="150"/>
                    <w:right w:type="dxa" w:w="150"/>
                  </w:tcMar>
                  <w:vAlign w:val="top"/>
                </w:tcPr>
                <w:p>
                  <w:pPr>
                    <w:pStyle w:val="null3"/>
                    <w:jc w:val="center"/>
                  </w:pPr>
                  <w:r>
                    <w:rPr>
                      <w:rFonts w:ascii="仿宋_GB2312" w:hAnsi="仿宋_GB2312" w:cs="仿宋_GB2312" w:eastAsia="仿宋_GB2312"/>
                      <w:sz w:val="21"/>
                    </w:rPr>
                    <w:t>线下活动</w:t>
                  </w:r>
                </w:p>
              </w:tc>
              <w:tc>
                <w:tcPr>
                  <w:tcW w:type="dxa" w:w="1298"/>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执行/物料</w:t>
                  </w:r>
                </w:p>
              </w:tc>
              <w:tc>
                <w:tcPr>
                  <w:tcW w:type="dxa" w:w="92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1"/>
                    </w:rPr>
                    <w:t>≥2条主题线路推广</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1"/>
              </w:rPr>
              <w:t>2.广告视频由中标供应商负责制作剪辑。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3.投标供应商提供的总体方案应切合本项目需求。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1"/>
              </w:rPr>
              <w:t>4.投标供应商应当承诺能够按照合同约定进行补播及承诺在广告执行过程中因特殊原因导致广告临时调整或漏播的，投标供应商应当制定提前告知机制并根据规定严格执行。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both"/>
            </w:pPr>
            <w:r>
              <w:rPr>
                <w:rFonts w:ascii="仿宋_GB2312" w:hAnsi="仿宋_GB2312" w:cs="仿宋_GB2312" w:eastAsia="仿宋_GB2312"/>
                <w:sz w:val="21"/>
              </w:rPr>
              <w:t>5.投标供应商在广告播出期间，应按采购人工作需要，提供有效的发布照片，以及具有权威资质第三方机构出具的有效监播数据报。</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 xml:space="preserve">   6.投标供应商</w:t>
            </w:r>
            <w:r>
              <w:rPr>
                <w:rFonts w:ascii="仿宋_GB2312" w:hAnsi="仿宋_GB2312" w:cs="仿宋_GB2312" w:eastAsia="仿宋_GB2312"/>
                <w:sz w:val="21"/>
              </w:rPr>
              <w:t>需每季度向采购人提供监播报告，并在</w:t>
            </w:r>
            <w:r>
              <w:rPr>
                <w:rFonts w:ascii="仿宋_GB2312" w:hAnsi="仿宋_GB2312" w:cs="仿宋_GB2312" w:eastAsia="仿宋_GB2312"/>
                <w:sz w:val="21"/>
              </w:rPr>
              <w:t>项目执行完毕后20日内，提供有效的发布照片报告，以及具有权威资质第三方机构出具的有效</w:t>
            </w:r>
            <w:r>
              <w:rPr>
                <w:rFonts w:ascii="仿宋_GB2312" w:hAnsi="仿宋_GB2312" w:cs="仿宋_GB2312" w:eastAsia="仿宋_GB2312"/>
                <w:sz w:val="21"/>
              </w:rPr>
              <w:t>监播</w:t>
            </w:r>
            <w:r>
              <w:rPr>
                <w:rFonts w:ascii="仿宋_GB2312" w:hAnsi="仿宋_GB2312" w:cs="仿宋_GB2312" w:eastAsia="仿宋_GB2312"/>
                <w:sz w:val="21"/>
              </w:rPr>
              <w:t>总报告。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渭南市、西安市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服务期满后，乙方向甲方人提供监播总报告且服务满足采购人要求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符合国家、行业相关法律法规，以及单一来源谈判文件要求的技术标准和乙方单一来源谈判响应文件，并在项目完成后，由采购人组成验收小组进行验收，经过验收小组一致认为已达到要求视为验收合格。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服务方案 标的清单 报价表 商务应答表.docx 响应函 报价明细表.docx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单一来源响应有效期满足采购文件的要求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服务内容及服务邀请应答表 标的清单 报价表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达到国家现行技术合格标准，满足采购要求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详见附件：合同-乡村旅游宣传.docx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