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BF11D">
      <w:pPr>
        <w:jc w:val="center"/>
        <w:rPr>
          <w:rFonts w:hint="default" w:ascii="黑体" w:hAnsi="黑体" w:eastAsia="黑体"/>
          <w:sz w:val="44"/>
          <w:szCs w:val="44"/>
          <w:lang w:val="en-US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服务方案</w:t>
      </w:r>
    </w:p>
    <w:p w14:paraId="5ABFEEE1">
      <w:pPr>
        <w:numPr>
          <w:ilvl w:val="0"/>
          <w:numId w:val="0"/>
        </w:numPr>
        <w:adjustRightInd w:val="0"/>
        <w:spacing w:line="400" w:lineRule="exact"/>
        <w:jc w:val="center"/>
        <w:rPr>
          <w:rFonts w:hint="eastAsia" w:ascii="黑体" w:eastAsia="黑体"/>
          <w:kern w:val="2"/>
          <w:sz w:val="36"/>
          <w:szCs w:val="36"/>
          <w:lang w:val="en-US" w:eastAsia="zh-CN" w:bidi="ar-SA"/>
        </w:rPr>
      </w:pPr>
    </w:p>
    <w:p w14:paraId="5CF651C4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</w:p>
    <w:p w14:paraId="2E77A18C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  <w:highlight w:val="none"/>
        </w:rPr>
        <w:t>根据本项目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服务内容及服务要求</w:t>
      </w:r>
      <w:r>
        <w:rPr>
          <w:rFonts w:hint="eastAsia" w:ascii="宋体" w:hAnsi="宋体"/>
          <w:sz w:val="24"/>
          <w:szCs w:val="24"/>
          <w:highlight w:val="none"/>
        </w:rPr>
        <w:t>、评审内容及标准，格式自定。</w:t>
      </w:r>
    </w:p>
    <w:p w14:paraId="11E64443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包括但不限于：1.服务方案</w:t>
      </w:r>
    </w:p>
    <w:p w14:paraId="727E653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2.管理制度</w:t>
      </w:r>
    </w:p>
    <w:p w14:paraId="245CCD36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3.服务质量保障措施</w:t>
      </w:r>
    </w:p>
    <w:p w14:paraId="3B95AEC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4.应急预案</w:t>
      </w:r>
    </w:p>
    <w:p w14:paraId="40C31BF3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5.培训考核方案</w:t>
      </w:r>
    </w:p>
    <w:p w14:paraId="7B4907D6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bookmarkStart w:id="0" w:name="_Toc20130"/>
      <w:r>
        <w:rPr>
          <w:rFonts w:hint="eastAsia" w:ascii="宋体" w:hAnsi="宋体"/>
          <w:sz w:val="24"/>
          <w:szCs w:val="24"/>
          <w:lang w:val="en-US" w:eastAsia="zh-CN"/>
        </w:rPr>
        <w:t>6.</w:t>
      </w:r>
      <w:bookmarkEnd w:id="0"/>
      <w:r>
        <w:rPr>
          <w:rFonts w:hint="eastAsia" w:ascii="宋体" w:hAnsi="宋体"/>
          <w:sz w:val="24"/>
          <w:szCs w:val="24"/>
          <w:lang w:val="en-US" w:eastAsia="zh-CN"/>
        </w:rPr>
        <w:t>人员配备方案</w:t>
      </w:r>
      <w:bookmarkStart w:id="1" w:name="_GoBack"/>
      <w:bookmarkEnd w:id="1"/>
    </w:p>
    <w:p w14:paraId="12150A8D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7.服务承诺</w:t>
      </w:r>
    </w:p>
    <w:p w14:paraId="7B99E670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8.业绩</w:t>
      </w:r>
    </w:p>
    <w:p w14:paraId="3BE421E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9.供应商认为需要补充的其他事项</w:t>
      </w:r>
    </w:p>
    <w:p w14:paraId="367E9C07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</w:p>
    <w:p w14:paraId="4842FED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12904FB0"/>
    <w:rsid w:val="135D5FE4"/>
    <w:rsid w:val="1694148D"/>
    <w:rsid w:val="19443181"/>
    <w:rsid w:val="1A6931E9"/>
    <w:rsid w:val="219757FB"/>
    <w:rsid w:val="29F179E6"/>
    <w:rsid w:val="305A62E5"/>
    <w:rsid w:val="369D1D37"/>
    <w:rsid w:val="3A8A0400"/>
    <w:rsid w:val="57143EAA"/>
    <w:rsid w:val="5E2B14AE"/>
    <w:rsid w:val="7A1A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113</Characters>
  <Lines>0</Lines>
  <Paragraphs>0</Paragraphs>
  <TotalTime>25</TotalTime>
  <ScaleCrop>false</ScaleCrop>
  <LinksUpToDate>false</LinksUpToDate>
  <CharactersWithSpaces>113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Ailsa</cp:lastModifiedBy>
  <dcterms:modified xsi:type="dcterms:W3CDTF">2025-10-22T03:43:03Z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eyJoZGlkIjoiZGU5M2ZiYjc0ZTNhYThhYzdkZjg2MGQzOGFkYzNjODciLCJ1c2VySWQiOiIzMTgwNzY3NzEifQ==</vt:lpwstr>
  </property>
</Properties>
</file>