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2D176">
      <w:pPr>
        <w:pStyle w:val="3"/>
        <w:outlineLvl w:val="9"/>
        <w:rPr>
          <w:rFonts w:hint="eastAsia" w:ascii="仿宋" w:hAnsi="仿宋" w:eastAsia="仿宋" w:cs="仿宋"/>
          <w:color w:val="auto"/>
          <w:highlight w:val="none"/>
        </w:rPr>
      </w:pPr>
      <w:bookmarkStart w:id="0" w:name="_Toc17469"/>
      <w:bookmarkStart w:id="1" w:name="_Toc58504447"/>
      <w:bookmarkStart w:id="2" w:name="_Toc163466370"/>
      <w:bookmarkStart w:id="3" w:name="_Toc63697169"/>
      <w:bookmarkStart w:id="4" w:name="_Toc163466300"/>
      <w:bookmarkStart w:id="5" w:name="_Toc163466154"/>
      <w:bookmarkStart w:id="6" w:name="_Toc385992324"/>
      <w:bookmarkStart w:id="7" w:name="_Toc163466272"/>
      <w:r>
        <w:rPr>
          <w:rFonts w:hint="eastAsia" w:ascii="仿宋" w:hAnsi="仿宋" w:eastAsia="仿宋" w:cs="仿宋"/>
          <w:color w:val="auto"/>
          <w:highlight w:val="none"/>
        </w:rPr>
        <w:t>合同草案条款</w:t>
      </w:r>
      <w:bookmarkEnd w:id="0"/>
      <w:bookmarkEnd w:id="1"/>
      <w:bookmarkEnd w:id="2"/>
      <w:bookmarkEnd w:id="3"/>
      <w:bookmarkEnd w:id="4"/>
      <w:bookmarkEnd w:id="5"/>
      <w:bookmarkEnd w:id="6"/>
      <w:bookmarkEnd w:id="7"/>
    </w:p>
    <w:p w14:paraId="60FA44ED">
      <w:pPr>
        <w:adjustRightInd w:val="0"/>
        <w:snapToGrid w:val="0"/>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甲方：（采购人）         </w:t>
      </w:r>
    </w:p>
    <w:p w14:paraId="7C33269D">
      <w:pPr>
        <w:adjustRightInd w:val="0"/>
        <w:snapToGrid w:val="0"/>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乙方：（中标人）     </w:t>
      </w:r>
    </w:p>
    <w:p w14:paraId="515D522A">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一、合同内容及金额：即中标人的投标内容及其中标总金额。</w:t>
      </w:r>
    </w:p>
    <w:p w14:paraId="0425FC4A">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二、产品技术规格、数量：即交付的产品技术规格、型号、数量与投标文件所指明的，或者与本合同所指明的产品技术规格及型号相一致。</w:t>
      </w:r>
    </w:p>
    <w:p w14:paraId="404C4CFE">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供货清单：</w:t>
      </w:r>
    </w:p>
    <w:tbl>
      <w:tblPr>
        <w:tblStyle w:val="4"/>
        <w:tblW w:w="8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810"/>
        <w:gridCol w:w="750"/>
        <w:gridCol w:w="750"/>
        <w:gridCol w:w="945"/>
        <w:gridCol w:w="1005"/>
        <w:gridCol w:w="1980"/>
        <w:gridCol w:w="1425"/>
      </w:tblGrid>
      <w:tr w14:paraId="5B4C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757" w:type="dxa"/>
            <w:vAlign w:val="bottom"/>
          </w:tcPr>
          <w:p w14:paraId="4A328942">
            <w:pPr>
              <w:widowControl/>
              <w:spacing w:line="360" w:lineRule="auto"/>
              <w:rPr>
                <w:rFonts w:hint="eastAsia" w:ascii="仿宋" w:hAnsi="仿宋" w:eastAsia="仿宋" w:cs="仿宋"/>
                <w:b/>
                <w:bCs/>
                <w:color w:val="auto"/>
                <w:kern w:val="0"/>
                <w:szCs w:val="21"/>
                <w:highlight w:val="none"/>
              </w:rPr>
            </w:pPr>
            <w:r>
              <w:rPr>
                <w:rFonts w:hint="eastAsia" w:ascii="仿宋" w:hAnsi="仿宋" w:eastAsia="仿宋" w:cs="仿宋"/>
                <w:b/>
                <w:bCs/>
                <w:color w:val="auto"/>
                <w:kern w:val="0"/>
                <w:szCs w:val="21"/>
                <w:highlight w:val="none"/>
              </w:rPr>
              <w:t>序号</w:t>
            </w:r>
          </w:p>
        </w:tc>
        <w:tc>
          <w:tcPr>
            <w:tcW w:w="810" w:type="dxa"/>
            <w:vAlign w:val="bottom"/>
          </w:tcPr>
          <w:p w14:paraId="0FC892C7">
            <w:pPr>
              <w:widowControl/>
              <w:spacing w:line="360" w:lineRule="auto"/>
              <w:jc w:val="center"/>
              <w:rPr>
                <w:rFonts w:hint="eastAsia" w:ascii="仿宋" w:hAnsi="仿宋" w:eastAsia="仿宋" w:cs="仿宋"/>
                <w:b/>
                <w:bCs/>
                <w:color w:val="auto"/>
                <w:kern w:val="0"/>
                <w:szCs w:val="21"/>
                <w:highlight w:val="none"/>
              </w:rPr>
            </w:pPr>
            <w:r>
              <w:rPr>
                <w:rFonts w:hint="eastAsia" w:ascii="仿宋" w:hAnsi="仿宋" w:eastAsia="仿宋" w:cs="仿宋"/>
                <w:b/>
                <w:bCs/>
                <w:color w:val="auto"/>
                <w:kern w:val="0"/>
                <w:szCs w:val="21"/>
                <w:highlight w:val="none"/>
              </w:rPr>
              <w:t>名称</w:t>
            </w:r>
          </w:p>
        </w:tc>
        <w:tc>
          <w:tcPr>
            <w:tcW w:w="750" w:type="dxa"/>
            <w:vAlign w:val="bottom"/>
          </w:tcPr>
          <w:p w14:paraId="1CB3A20E">
            <w:pPr>
              <w:widowControl/>
              <w:spacing w:line="360" w:lineRule="auto"/>
              <w:jc w:val="center"/>
              <w:rPr>
                <w:rFonts w:hint="eastAsia" w:ascii="仿宋" w:hAnsi="仿宋" w:eastAsia="仿宋" w:cs="仿宋"/>
                <w:b/>
                <w:bCs/>
                <w:color w:val="auto"/>
                <w:kern w:val="0"/>
                <w:szCs w:val="21"/>
                <w:highlight w:val="none"/>
              </w:rPr>
            </w:pPr>
            <w:r>
              <w:rPr>
                <w:rFonts w:hint="eastAsia" w:ascii="仿宋" w:hAnsi="仿宋" w:eastAsia="仿宋" w:cs="仿宋"/>
                <w:b/>
                <w:bCs/>
                <w:color w:val="auto"/>
                <w:kern w:val="0"/>
                <w:szCs w:val="21"/>
                <w:highlight w:val="none"/>
              </w:rPr>
              <w:t>数量</w:t>
            </w:r>
          </w:p>
        </w:tc>
        <w:tc>
          <w:tcPr>
            <w:tcW w:w="750" w:type="dxa"/>
            <w:vAlign w:val="bottom"/>
          </w:tcPr>
          <w:p w14:paraId="325CAAAF">
            <w:pPr>
              <w:widowControl/>
              <w:spacing w:line="360" w:lineRule="auto"/>
              <w:jc w:val="center"/>
              <w:rPr>
                <w:rFonts w:hint="eastAsia" w:ascii="仿宋" w:hAnsi="仿宋" w:eastAsia="仿宋" w:cs="仿宋"/>
                <w:b/>
                <w:bCs/>
                <w:color w:val="auto"/>
                <w:kern w:val="0"/>
                <w:szCs w:val="21"/>
                <w:highlight w:val="none"/>
              </w:rPr>
            </w:pPr>
            <w:r>
              <w:rPr>
                <w:rFonts w:hint="eastAsia" w:ascii="仿宋" w:hAnsi="仿宋" w:eastAsia="仿宋" w:cs="仿宋"/>
                <w:b/>
                <w:bCs/>
                <w:color w:val="auto"/>
                <w:kern w:val="0"/>
                <w:szCs w:val="21"/>
                <w:highlight w:val="none"/>
              </w:rPr>
              <w:t>单位</w:t>
            </w:r>
          </w:p>
        </w:tc>
        <w:tc>
          <w:tcPr>
            <w:tcW w:w="945" w:type="dxa"/>
            <w:vAlign w:val="bottom"/>
          </w:tcPr>
          <w:p w14:paraId="280CCCE0">
            <w:pPr>
              <w:widowControl/>
              <w:spacing w:line="360" w:lineRule="auto"/>
              <w:jc w:val="center"/>
              <w:rPr>
                <w:rFonts w:hint="eastAsia" w:ascii="仿宋" w:hAnsi="仿宋" w:eastAsia="仿宋" w:cs="仿宋"/>
                <w:b/>
                <w:bCs/>
                <w:color w:val="auto"/>
                <w:kern w:val="0"/>
                <w:szCs w:val="21"/>
                <w:highlight w:val="none"/>
              </w:rPr>
            </w:pPr>
            <w:r>
              <w:rPr>
                <w:rFonts w:hint="eastAsia" w:ascii="仿宋" w:hAnsi="仿宋" w:eastAsia="仿宋" w:cs="仿宋"/>
                <w:b/>
                <w:bCs/>
                <w:color w:val="auto"/>
                <w:kern w:val="0"/>
                <w:szCs w:val="21"/>
                <w:highlight w:val="none"/>
              </w:rPr>
              <w:t>单价</w:t>
            </w:r>
          </w:p>
        </w:tc>
        <w:tc>
          <w:tcPr>
            <w:tcW w:w="1005" w:type="dxa"/>
            <w:vAlign w:val="bottom"/>
          </w:tcPr>
          <w:p w14:paraId="0E1C63ED">
            <w:pPr>
              <w:spacing w:line="360" w:lineRule="auto"/>
              <w:jc w:val="center"/>
              <w:rPr>
                <w:rFonts w:hint="eastAsia" w:ascii="仿宋" w:hAnsi="仿宋" w:eastAsia="仿宋" w:cs="仿宋"/>
                <w:b/>
                <w:bCs/>
                <w:color w:val="auto"/>
                <w:kern w:val="0"/>
                <w:szCs w:val="21"/>
                <w:highlight w:val="none"/>
              </w:rPr>
            </w:pPr>
            <w:r>
              <w:rPr>
                <w:rFonts w:hint="eastAsia" w:ascii="仿宋" w:hAnsi="仿宋" w:eastAsia="仿宋" w:cs="仿宋"/>
                <w:b/>
                <w:bCs/>
                <w:color w:val="auto"/>
                <w:kern w:val="0"/>
                <w:szCs w:val="21"/>
                <w:highlight w:val="none"/>
              </w:rPr>
              <w:t>金额</w:t>
            </w:r>
          </w:p>
        </w:tc>
        <w:tc>
          <w:tcPr>
            <w:tcW w:w="1980" w:type="dxa"/>
            <w:vAlign w:val="bottom"/>
          </w:tcPr>
          <w:p w14:paraId="72323790">
            <w:pPr>
              <w:spacing w:line="360" w:lineRule="auto"/>
              <w:jc w:val="center"/>
              <w:rPr>
                <w:rFonts w:hint="eastAsia" w:ascii="仿宋" w:hAnsi="仿宋" w:eastAsia="仿宋" w:cs="仿宋"/>
                <w:b/>
                <w:bCs/>
                <w:color w:val="auto"/>
                <w:kern w:val="0"/>
                <w:szCs w:val="21"/>
                <w:highlight w:val="none"/>
              </w:rPr>
            </w:pPr>
            <w:r>
              <w:rPr>
                <w:rFonts w:hint="eastAsia" w:ascii="仿宋" w:hAnsi="仿宋" w:eastAsia="仿宋" w:cs="仿宋"/>
                <w:b/>
                <w:bCs/>
                <w:color w:val="auto"/>
                <w:kern w:val="0"/>
                <w:szCs w:val="21"/>
                <w:highlight w:val="none"/>
              </w:rPr>
              <w:t>制造厂家</w:t>
            </w:r>
          </w:p>
        </w:tc>
        <w:tc>
          <w:tcPr>
            <w:tcW w:w="1425" w:type="dxa"/>
            <w:vAlign w:val="bottom"/>
          </w:tcPr>
          <w:p w14:paraId="0B8A7F8F">
            <w:pPr>
              <w:widowControl/>
              <w:spacing w:line="360" w:lineRule="auto"/>
              <w:jc w:val="center"/>
              <w:rPr>
                <w:rFonts w:hint="eastAsia" w:ascii="仿宋" w:hAnsi="仿宋" w:eastAsia="仿宋" w:cs="仿宋"/>
                <w:b/>
                <w:bCs/>
                <w:color w:val="auto"/>
                <w:kern w:val="0"/>
                <w:szCs w:val="21"/>
                <w:highlight w:val="none"/>
              </w:rPr>
            </w:pPr>
            <w:r>
              <w:rPr>
                <w:rFonts w:hint="eastAsia" w:ascii="仿宋" w:hAnsi="仿宋" w:eastAsia="仿宋" w:cs="仿宋"/>
                <w:b/>
                <w:bCs/>
                <w:color w:val="auto"/>
                <w:kern w:val="0"/>
                <w:szCs w:val="21"/>
                <w:highlight w:val="none"/>
              </w:rPr>
              <w:t>规格和说明</w:t>
            </w:r>
          </w:p>
        </w:tc>
      </w:tr>
      <w:tr w14:paraId="5B10F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757" w:type="dxa"/>
            <w:vAlign w:val="bottom"/>
          </w:tcPr>
          <w:p w14:paraId="187F548C">
            <w:pPr>
              <w:widowControl/>
              <w:spacing w:line="360" w:lineRule="auto"/>
              <w:rPr>
                <w:rFonts w:hint="eastAsia" w:ascii="仿宋" w:hAnsi="仿宋" w:eastAsia="仿宋" w:cs="仿宋"/>
                <w:b/>
                <w:bCs/>
                <w:color w:val="auto"/>
                <w:kern w:val="0"/>
                <w:sz w:val="18"/>
                <w:szCs w:val="18"/>
                <w:highlight w:val="none"/>
              </w:rPr>
            </w:pPr>
          </w:p>
        </w:tc>
        <w:tc>
          <w:tcPr>
            <w:tcW w:w="810" w:type="dxa"/>
            <w:vAlign w:val="bottom"/>
          </w:tcPr>
          <w:p w14:paraId="67DB41C5">
            <w:pPr>
              <w:widowControl/>
              <w:spacing w:line="360" w:lineRule="auto"/>
              <w:jc w:val="center"/>
              <w:rPr>
                <w:rFonts w:hint="eastAsia" w:ascii="仿宋" w:hAnsi="仿宋" w:eastAsia="仿宋" w:cs="仿宋"/>
                <w:b/>
                <w:bCs/>
                <w:color w:val="auto"/>
                <w:kern w:val="0"/>
                <w:sz w:val="18"/>
                <w:szCs w:val="18"/>
                <w:highlight w:val="none"/>
              </w:rPr>
            </w:pPr>
          </w:p>
        </w:tc>
        <w:tc>
          <w:tcPr>
            <w:tcW w:w="750" w:type="dxa"/>
            <w:vAlign w:val="bottom"/>
          </w:tcPr>
          <w:p w14:paraId="61770445">
            <w:pPr>
              <w:widowControl/>
              <w:spacing w:line="360" w:lineRule="auto"/>
              <w:jc w:val="center"/>
              <w:rPr>
                <w:rFonts w:hint="eastAsia" w:ascii="仿宋" w:hAnsi="仿宋" w:eastAsia="仿宋" w:cs="仿宋"/>
                <w:b/>
                <w:bCs/>
                <w:color w:val="auto"/>
                <w:kern w:val="0"/>
                <w:sz w:val="18"/>
                <w:szCs w:val="18"/>
                <w:highlight w:val="none"/>
              </w:rPr>
            </w:pPr>
          </w:p>
        </w:tc>
        <w:tc>
          <w:tcPr>
            <w:tcW w:w="750" w:type="dxa"/>
            <w:vAlign w:val="bottom"/>
          </w:tcPr>
          <w:p w14:paraId="2DEBC5E0">
            <w:pPr>
              <w:widowControl/>
              <w:spacing w:line="360" w:lineRule="auto"/>
              <w:jc w:val="center"/>
              <w:rPr>
                <w:rFonts w:hint="eastAsia" w:ascii="仿宋" w:hAnsi="仿宋" w:eastAsia="仿宋" w:cs="仿宋"/>
                <w:b/>
                <w:bCs/>
                <w:color w:val="auto"/>
                <w:kern w:val="0"/>
                <w:sz w:val="18"/>
                <w:szCs w:val="18"/>
                <w:highlight w:val="none"/>
              </w:rPr>
            </w:pPr>
          </w:p>
        </w:tc>
        <w:tc>
          <w:tcPr>
            <w:tcW w:w="945" w:type="dxa"/>
            <w:vAlign w:val="bottom"/>
          </w:tcPr>
          <w:p w14:paraId="4912F10D">
            <w:pPr>
              <w:widowControl/>
              <w:spacing w:line="360" w:lineRule="auto"/>
              <w:jc w:val="center"/>
              <w:rPr>
                <w:rFonts w:hint="eastAsia" w:ascii="仿宋" w:hAnsi="仿宋" w:eastAsia="仿宋" w:cs="仿宋"/>
                <w:b/>
                <w:bCs/>
                <w:color w:val="auto"/>
                <w:kern w:val="0"/>
                <w:sz w:val="18"/>
                <w:szCs w:val="18"/>
                <w:highlight w:val="none"/>
              </w:rPr>
            </w:pPr>
          </w:p>
        </w:tc>
        <w:tc>
          <w:tcPr>
            <w:tcW w:w="1005" w:type="dxa"/>
            <w:vAlign w:val="bottom"/>
          </w:tcPr>
          <w:p w14:paraId="76B64EEB">
            <w:pPr>
              <w:widowControl/>
              <w:spacing w:line="360" w:lineRule="auto"/>
              <w:jc w:val="center"/>
              <w:rPr>
                <w:rFonts w:hint="eastAsia" w:ascii="仿宋" w:hAnsi="仿宋" w:eastAsia="仿宋" w:cs="仿宋"/>
                <w:b/>
                <w:bCs/>
                <w:color w:val="auto"/>
                <w:kern w:val="0"/>
                <w:sz w:val="18"/>
                <w:szCs w:val="18"/>
                <w:highlight w:val="none"/>
              </w:rPr>
            </w:pPr>
          </w:p>
        </w:tc>
        <w:tc>
          <w:tcPr>
            <w:tcW w:w="1980" w:type="dxa"/>
            <w:vAlign w:val="bottom"/>
          </w:tcPr>
          <w:p w14:paraId="4AFE8D59">
            <w:pPr>
              <w:widowControl/>
              <w:spacing w:line="360" w:lineRule="auto"/>
              <w:jc w:val="center"/>
              <w:rPr>
                <w:rFonts w:hint="eastAsia" w:ascii="仿宋" w:hAnsi="仿宋" w:eastAsia="仿宋" w:cs="仿宋"/>
                <w:b/>
                <w:bCs/>
                <w:color w:val="auto"/>
                <w:kern w:val="0"/>
                <w:sz w:val="18"/>
                <w:szCs w:val="18"/>
                <w:highlight w:val="none"/>
              </w:rPr>
            </w:pPr>
          </w:p>
        </w:tc>
        <w:tc>
          <w:tcPr>
            <w:tcW w:w="1425" w:type="dxa"/>
            <w:vAlign w:val="bottom"/>
          </w:tcPr>
          <w:p w14:paraId="22817277">
            <w:pPr>
              <w:widowControl/>
              <w:spacing w:line="360" w:lineRule="auto"/>
              <w:jc w:val="center"/>
              <w:rPr>
                <w:rFonts w:hint="eastAsia" w:ascii="仿宋" w:hAnsi="仿宋" w:eastAsia="仿宋" w:cs="仿宋"/>
                <w:b/>
                <w:bCs/>
                <w:color w:val="auto"/>
                <w:kern w:val="0"/>
                <w:sz w:val="18"/>
                <w:szCs w:val="18"/>
                <w:highlight w:val="none"/>
              </w:rPr>
            </w:pPr>
          </w:p>
        </w:tc>
      </w:tr>
      <w:tr w14:paraId="10048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757" w:type="dxa"/>
            <w:vAlign w:val="bottom"/>
          </w:tcPr>
          <w:p w14:paraId="3604E6DD">
            <w:pPr>
              <w:widowControl/>
              <w:spacing w:line="360" w:lineRule="auto"/>
              <w:rPr>
                <w:rFonts w:hint="eastAsia" w:ascii="仿宋" w:hAnsi="仿宋" w:eastAsia="仿宋" w:cs="仿宋"/>
                <w:b/>
                <w:bCs/>
                <w:color w:val="auto"/>
                <w:kern w:val="0"/>
                <w:sz w:val="18"/>
                <w:szCs w:val="18"/>
                <w:highlight w:val="none"/>
              </w:rPr>
            </w:pPr>
          </w:p>
        </w:tc>
        <w:tc>
          <w:tcPr>
            <w:tcW w:w="810" w:type="dxa"/>
            <w:vAlign w:val="bottom"/>
          </w:tcPr>
          <w:p w14:paraId="7519829A">
            <w:pPr>
              <w:widowControl/>
              <w:spacing w:line="360" w:lineRule="auto"/>
              <w:jc w:val="center"/>
              <w:rPr>
                <w:rFonts w:hint="eastAsia" w:ascii="仿宋" w:hAnsi="仿宋" w:eastAsia="仿宋" w:cs="仿宋"/>
                <w:b/>
                <w:bCs/>
                <w:color w:val="auto"/>
                <w:kern w:val="0"/>
                <w:sz w:val="18"/>
                <w:szCs w:val="18"/>
                <w:highlight w:val="none"/>
              </w:rPr>
            </w:pPr>
          </w:p>
        </w:tc>
        <w:tc>
          <w:tcPr>
            <w:tcW w:w="750" w:type="dxa"/>
            <w:vAlign w:val="bottom"/>
          </w:tcPr>
          <w:p w14:paraId="6EB4315F">
            <w:pPr>
              <w:widowControl/>
              <w:spacing w:line="360" w:lineRule="auto"/>
              <w:jc w:val="center"/>
              <w:rPr>
                <w:rFonts w:hint="eastAsia" w:ascii="仿宋" w:hAnsi="仿宋" w:eastAsia="仿宋" w:cs="仿宋"/>
                <w:b/>
                <w:bCs/>
                <w:color w:val="auto"/>
                <w:kern w:val="0"/>
                <w:sz w:val="18"/>
                <w:szCs w:val="18"/>
                <w:highlight w:val="none"/>
              </w:rPr>
            </w:pPr>
          </w:p>
        </w:tc>
        <w:tc>
          <w:tcPr>
            <w:tcW w:w="750" w:type="dxa"/>
            <w:vAlign w:val="bottom"/>
          </w:tcPr>
          <w:p w14:paraId="11D70B37">
            <w:pPr>
              <w:widowControl/>
              <w:spacing w:line="360" w:lineRule="auto"/>
              <w:jc w:val="center"/>
              <w:rPr>
                <w:rFonts w:hint="eastAsia" w:ascii="仿宋" w:hAnsi="仿宋" w:eastAsia="仿宋" w:cs="仿宋"/>
                <w:b/>
                <w:bCs/>
                <w:color w:val="auto"/>
                <w:kern w:val="0"/>
                <w:sz w:val="18"/>
                <w:szCs w:val="18"/>
                <w:highlight w:val="none"/>
              </w:rPr>
            </w:pPr>
          </w:p>
        </w:tc>
        <w:tc>
          <w:tcPr>
            <w:tcW w:w="945" w:type="dxa"/>
            <w:vAlign w:val="bottom"/>
          </w:tcPr>
          <w:p w14:paraId="01D600A5">
            <w:pPr>
              <w:widowControl/>
              <w:spacing w:line="360" w:lineRule="auto"/>
              <w:jc w:val="center"/>
              <w:rPr>
                <w:rFonts w:hint="eastAsia" w:ascii="仿宋" w:hAnsi="仿宋" w:eastAsia="仿宋" w:cs="仿宋"/>
                <w:b/>
                <w:bCs/>
                <w:color w:val="auto"/>
                <w:kern w:val="0"/>
                <w:sz w:val="18"/>
                <w:szCs w:val="18"/>
                <w:highlight w:val="none"/>
              </w:rPr>
            </w:pPr>
          </w:p>
        </w:tc>
        <w:tc>
          <w:tcPr>
            <w:tcW w:w="1005" w:type="dxa"/>
            <w:vAlign w:val="bottom"/>
          </w:tcPr>
          <w:p w14:paraId="09E36E3F">
            <w:pPr>
              <w:widowControl/>
              <w:spacing w:line="360" w:lineRule="auto"/>
              <w:jc w:val="center"/>
              <w:rPr>
                <w:rFonts w:hint="eastAsia" w:ascii="仿宋" w:hAnsi="仿宋" w:eastAsia="仿宋" w:cs="仿宋"/>
                <w:b/>
                <w:bCs/>
                <w:color w:val="auto"/>
                <w:kern w:val="0"/>
                <w:sz w:val="18"/>
                <w:szCs w:val="18"/>
                <w:highlight w:val="none"/>
              </w:rPr>
            </w:pPr>
          </w:p>
        </w:tc>
        <w:tc>
          <w:tcPr>
            <w:tcW w:w="1980" w:type="dxa"/>
            <w:vAlign w:val="bottom"/>
          </w:tcPr>
          <w:p w14:paraId="7509121F">
            <w:pPr>
              <w:widowControl/>
              <w:spacing w:line="360" w:lineRule="auto"/>
              <w:jc w:val="center"/>
              <w:rPr>
                <w:rFonts w:hint="eastAsia" w:ascii="仿宋" w:hAnsi="仿宋" w:eastAsia="仿宋" w:cs="仿宋"/>
                <w:b/>
                <w:bCs/>
                <w:color w:val="auto"/>
                <w:kern w:val="0"/>
                <w:sz w:val="18"/>
                <w:szCs w:val="18"/>
                <w:highlight w:val="none"/>
              </w:rPr>
            </w:pPr>
          </w:p>
        </w:tc>
        <w:tc>
          <w:tcPr>
            <w:tcW w:w="1425" w:type="dxa"/>
            <w:vAlign w:val="bottom"/>
          </w:tcPr>
          <w:p w14:paraId="780918AC">
            <w:pPr>
              <w:widowControl/>
              <w:spacing w:line="360" w:lineRule="auto"/>
              <w:jc w:val="center"/>
              <w:rPr>
                <w:rFonts w:hint="eastAsia" w:ascii="仿宋" w:hAnsi="仿宋" w:eastAsia="仿宋" w:cs="仿宋"/>
                <w:b/>
                <w:bCs/>
                <w:color w:val="auto"/>
                <w:kern w:val="0"/>
                <w:sz w:val="18"/>
                <w:szCs w:val="18"/>
                <w:highlight w:val="none"/>
              </w:rPr>
            </w:pPr>
          </w:p>
        </w:tc>
      </w:tr>
    </w:tbl>
    <w:p w14:paraId="1879EC4E">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三、知识产权：即中标人应保证采购单位在使用应标货物时，不承担任何设计知识产权法律诉讼的责任。</w:t>
      </w:r>
    </w:p>
    <w:p w14:paraId="186B3B50">
      <w:pPr>
        <w:spacing w:line="560" w:lineRule="exact"/>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四、交货期：合同签订生效后30天内需要交货完毕、安装调试完成；质保期：</w:t>
      </w:r>
      <w:bookmarkStart w:id="8" w:name="_Hlk182928458"/>
      <w:r>
        <w:rPr>
          <w:rFonts w:hint="eastAsia" w:ascii="仿宋" w:hAnsi="仿宋" w:eastAsia="仿宋" w:cs="仿宋"/>
          <w:color w:val="auto"/>
          <w:sz w:val="24"/>
          <w:highlight w:val="none"/>
          <w:u w:val="single"/>
        </w:rPr>
        <w:t>自验收合格后</w:t>
      </w:r>
      <w:bookmarkEnd w:id="8"/>
      <w:r>
        <w:rPr>
          <w:rFonts w:hint="eastAsia" w:ascii="仿宋" w:hAnsi="仿宋" w:eastAsia="仿宋" w:cs="仿宋"/>
          <w:color w:val="auto"/>
          <w:sz w:val="24"/>
          <w:highlight w:val="none"/>
          <w:u w:val="single"/>
        </w:rPr>
        <w:t>（   ）年</w:t>
      </w:r>
      <w:r>
        <w:rPr>
          <w:rFonts w:hint="eastAsia" w:ascii="仿宋" w:hAnsi="仿宋" w:eastAsia="仿宋" w:cs="仿宋"/>
          <w:color w:val="auto"/>
          <w:sz w:val="24"/>
          <w:highlight w:val="none"/>
        </w:rPr>
        <w:t>。针对所投产品给予采购人</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年免费保修期。</w:t>
      </w:r>
    </w:p>
    <w:p w14:paraId="64CF30C5">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中标人未征得采购单位同意和谅解而单方面延迟交货，将按违约终止合同。</w:t>
      </w:r>
    </w:p>
    <w:p w14:paraId="7B8EE50E">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中标人遇到可能妨碍按时交货和提供服务的情况，应当及时以书面形式通知采购单位，说明原由、拖延的期限等；采购单位、采购代理机构在收到通知后，尽快进行情况评估并确定是否通过修改合同，酌情延长交货时间或者通过协商加收误期赔偿金。</w:t>
      </w:r>
    </w:p>
    <w:p w14:paraId="33F65514">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五、交货地点：北京市朝阳区东三环南路17号京瑞大厦B座10层。</w:t>
      </w:r>
    </w:p>
    <w:p w14:paraId="0C2AB803">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六、结算方式：</w:t>
      </w:r>
    </w:p>
    <w:p w14:paraId="5DE1F31A">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1.结算方式：由采购单位负责结算。</w:t>
      </w:r>
    </w:p>
    <w:p w14:paraId="40380623">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2.合同款的支付：验收合格后，达到付款条件起 30 日内，支付合同总金额的 100.00%。</w:t>
      </w:r>
    </w:p>
    <w:p w14:paraId="40503073">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七、包装：包装必须适应货物特性和交通运输要求，以及国家有关标准或企业标准或合同要求。中标人应承担于包装、防护措施不妥引起的所有损失的责任和费用。</w:t>
      </w:r>
    </w:p>
    <w:p w14:paraId="5F5F8D68">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八、运输：投标人可根据交货期、运输条件自行选择运输方式（另有规定的除外），承担一切运输费用。</w:t>
      </w:r>
    </w:p>
    <w:p w14:paraId="6FC0C29E">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九、技术保障：中标人应随同货物提供相应的中文技术文件（包括产品合格证、装箱清单、操作手册、使用说明、检测报告、维护手册、服务指南等资料）,调试、试运行技术保障服务。</w:t>
      </w:r>
    </w:p>
    <w:p w14:paraId="50F7208F">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十、质量保证</w:t>
      </w:r>
    </w:p>
    <w:p w14:paraId="33A8DCDA">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1.供应商应当保证所供货物的来源渠道正常，产品是全新的、未使用过的、且完全符合合同规定的质量、规格、技术指标等要求，并在质保期内、外应对由于产品设计、工艺或材料的缺陷而产生的质量问题负责。</w:t>
      </w:r>
    </w:p>
    <w:p w14:paraId="702D54EF">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2.在质保期内，如果发现货物的质量、规格、技术指标等存在与合同中任何一项不符，采购单位应在最短时间内，以书面形式向供应商提出索赔，同时通告采购代理机构。</w:t>
      </w:r>
    </w:p>
    <w:p w14:paraId="16204871">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3.供应商在接到</w:t>
      </w:r>
      <w:bookmarkStart w:id="9" w:name="_GoBack"/>
      <w:bookmarkEnd w:id="9"/>
      <w:r>
        <w:rPr>
          <w:rFonts w:hint="eastAsia" w:ascii="仿宋" w:hAnsi="仿宋" w:eastAsia="仿宋" w:cs="仿宋"/>
          <w:color w:val="auto"/>
          <w:sz w:val="24"/>
          <w:highlight w:val="none"/>
        </w:rPr>
        <w:t>采购人报修电话后，在2小时内响应，24小时内派出合格的维修人员到达现场进行维修服务，若需将产品返厂维修，乙方应提供备用机、承担维修产品所需的往返费用。</w:t>
      </w:r>
    </w:p>
    <w:p w14:paraId="6F87D504">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十一、采购项目执行内容需要调整时，经采购单位同意后，可以对相应的原材料进行调整，并协商确定价格差额计算方法和负担办法。</w:t>
      </w:r>
    </w:p>
    <w:p w14:paraId="4903DC9C">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十二、产品设计变更</w:t>
      </w:r>
    </w:p>
    <w:p w14:paraId="343324B7">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成交后，生产加工产品的设计、数量需要变更、调整时，应办理相应的变更、调整审批手续，并协商确定设计变更、数量调整后的产品价款计算方法和工期顺延等事宜。</w:t>
      </w:r>
    </w:p>
    <w:p w14:paraId="2914445E">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十三、检验：在交货前，制造商应当对产品的质量、规格、数量等进行准确而全面的检验，出具合格证；产品送达指定地点后，中标人、采购单位须在约定的时间和地点共同检验。</w:t>
      </w:r>
    </w:p>
    <w:p w14:paraId="098F935B">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十四、验收：</w:t>
      </w:r>
    </w:p>
    <w:p w14:paraId="6414CF4A">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1.所供产品的规格、数量符合采购文件供应商投标承诺及采购合同约定的要求。</w:t>
      </w:r>
    </w:p>
    <w:p w14:paraId="0D6143CB">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2.所有产品均已运输至指定地点，并安装调试完毕。</w:t>
      </w:r>
    </w:p>
    <w:p w14:paraId="67728A86">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3.采购文件供应商投标承诺及采购合同约定的附件、工具、技术资料等齐全；提供产品使用说明书、合格证。</w:t>
      </w:r>
    </w:p>
    <w:p w14:paraId="30393755">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符合竞争性磋商文件和供应商响应文件所要求以及国家相关技术标准，并在项目完成后，由采购人组成验收小组进行验收（必要时聘请相应专家或委托相应部门验收），经过验收小组检查后一致认为已达到要求视为验收合格。</w:t>
      </w:r>
    </w:p>
    <w:p w14:paraId="1E0C8D00">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十五、合同争议的解决：</w:t>
      </w:r>
      <w:r>
        <w:rPr>
          <w:rFonts w:hint="eastAsia" w:ascii="仿宋" w:hAnsi="仿宋" w:eastAsia="仿宋" w:cs="仿宋"/>
          <w:color w:val="auto"/>
          <w:highlight w:val="none"/>
        </w:rPr>
        <w:t>合同执行中发生争议的，当事人双方应协商解决，协商达不成一致时，可向人民法院提请诉讼。</w:t>
      </w:r>
    </w:p>
    <w:p w14:paraId="6289F9A9">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十六、在发生不可抗力情况下的应对措施和解决办法。</w:t>
      </w:r>
    </w:p>
    <w:p w14:paraId="623BBF3B">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十七、合同一经签订，不得擅自变更、中止或者终止合同。对确需变更、调整或者中止、终止合同的，应按规定履行相应的手续。</w:t>
      </w:r>
    </w:p>
    <w:p w14:paraId="2924176C">
      <w:pPr>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十八、违约责任：</w:t>
      </w:r>
      <w:r>
        <w:rPr>
          <w:rFonts w:hint="eastAsia" w:ascii="仿宋" w:hAnsi="仿宋" w:eastAsia="仿宋" w:cs="仿宋"/>
          <w:color w:val="auto"/>
          <w:highlight w:val="none"/>
        </w:rPr>
        <w:t>依据《中华人民共和国民法典》、《中华人民共和国政府采购法》的相关条款和本合同约定，中标人未全面履行合同义务或者发生违约，采购单位会同采购代理机构有权终止合同，依法向中标人进行经济索赔，并报请政府采购监督管理机关进行相应的行政处罚。采购单位违约的，应当赔偿给中标人造成的经济损失。</w:t>
      </w:r>
    </w:p>
    <w:p w14:paraId="68A34DAB">
      <w:pPr>
        <w:tabs>
          <w:tab w:val="left" w:pos="980"/>
        </w:tabs>
        <w:kinsoku w:val="0"/>
        <w:spacing w:line="560" w:lineRule="exact"/>
        <w:ind w:firstLine="560"/>
        <w:rPr>
          <w:rFonts w:hint="eastAsia" w:ascii="仿宋" w:hAnsi="仿宋" w:eastAsia="仿宋" w:cs="仿宋"/>
          <w:color w:val="auto"/>
          <w:sz w:val="24"/>
          <w:highlight w:val="none"/>
        </w:rPr>
      </w:pPr>
      <w:r>
        <w:rPr>
          <w:rFonts w:hint="eastAsia" w:ascii="仿宋" w:hAnsi="仿宋" w:eastAsia="仿宋" w:cs="仿宋"/>
          <w:color w:val="auto"/>
          <w:sz w:val="24"/>
          <w:highlight w:val="none"/>
        </w:rPr>
        <w:t>十九、本合同一式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份，甲方、乙方各执</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备案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份。双方签字盖章后生效，合同执行完毕自动失效（合同的服务承诺则长期有效）。</w:t>
      </w:r>
    </w:p>
    <w:p w14:paraId="5BE7853E">
      <w:pPr>
        <w:tabs>
          <w:tab w:val="left" w:pos="980"/>
        </w:tabs>
        <w:kinsoku w:val="0"/>
        <w:spacing w:line="560" w:lineRule="exact"/>
        <w:ind w:firstLine="560"/>
        <w:rPr>
          <w:rFonts w:hint="eastAsia" w:ascii="仿宋" w:hAnsi="仿宋" w:eastAsia="仿宋" w:cs="仿宋"/>
          <w:color w:val="auto"/>
          <w:sz w:val="24"/>
          <w:highlight w:val="none"/>
        </w:rPr>
      </w:pPr>
      <w:r>
        <w:rPr>
          <w:rFonts w:hint="eastAsia" w:ascii="仿宋" w:hAnsi="仿宋" w:eastAsia="仿宋" w:cs="仿宋"/>
          <w:color w:val="auto"/>
          <w:sz w:val="24"/>
          <w:highlight w:val="none"/>
        </w:rPr>
        <w:t>二十、其它（在合同中具体明确）</w:t>
      </w:r>
    </w:p>
    <w:p w14:paraId="5BEF797B">
      <w:pPr>
        <w:pStyle w:val="2"/>
        <w:tabs>
          <w:tab w:val="left" w:pos="567"/>
          <w:tab w:val="clear" w:pos="720"/>
        </w:tabs>
        <w:spacing w:line="560" w:lineRule="exact"/>
        <w:rPr>
          <w:rFonts w:hint="eastAsia" w:ascii="仿宋" w:hAnsi="仿宋" w:eastAsia="仿宋" w:cs="仿宋"/>
          <w:color w:val="auto"/>
          <w:highlight w:val="none"/>
        </w:rPr>
      </w:pPr>
    </w:p>
    <w:tbl>
      <w:tblPr>
        <w:tblStyle w:val="4"/>
        <w:tblW w:w="9286" w:type="dxa"/>
        <w:jc w:val="center"/>
        <w:tblLayout w:type="fixed"/>
        <w:tblCellMar>
          <w:top w:w="0" w:type="dxa"/>
          <w:left w:w="108" w:type="dxa"/>
          <w:bottom w:w="0" w:type="dxa"/>
          <w:right w:w="108" w:type="dxa"/>
        </w:tblCellMar>
      </w:tblPr>
      <w:tblGrid>
        <w:gridCol w:w="4643"/>
        <w:gridCol w:w="4643"/>
      </w:tblGrid>
      <w:tr w14:paraId="3636AD05">
        <w:tblPrEx>
          <w:tblCellMar>
            <w:top w:w="0" w:type="dxa"/>
            <w:left w:w="108" w:type="dxa"/>
            <w:bottom w:w="0" w:type="dxa"/>
            <w:right w:w="108" w:type="dxa"/>
          </w:tblCellMar>
        </w:tblPrEx>
        <w:trPr>
          <w:jc w:val="center"/>
        </w:trPr>
        <w:tc>
          <w:tcPr>
            <w:tcW w:w="4643" w:type="dxa"/>
          </w:tcPr>
          <w:p w14:paraId="0D145B59">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甲方名称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61011BE1">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02976993">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05B9CFEC">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446A47F5">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3C576DD1">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帐号：</w:t>
            </w:r>
          </w:p>
        </w:tc>
        <w:tc>
          <w:tcPr>
            <w:tcW w:w="4643" w:type="dxa"/>
          </w:tcPr>
          <w:p w14:paraId="011CC418">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乙方名称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479B860A">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347205C0">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15536D12">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3C8C089B">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6332FD92">
            <w:pPr>
              <w:widowControl/>
              <w:autoSpaceDE w:val="0"/>
              <w:autoSpaceDN w:val="0"/>
              <w:snapToGrid w:val="0"/>
              <w:spacing w:line="560" w:lineRule="exact"/>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帐号：</w:t>
            </w:r>
          </w:p>
        </w:tc>
      </w:tr>
    </w:tbl>
    <w:p w14:paraId="6135A9DC">
      <w:r>
        <w:rPr>
          <w:rFonts w:ascii="仿宋" w:hAnsi="仿宋" w:eastAsia="仿宋" w:cs="仿宋"/>
          <w:color w:val="auto"/>
          <w:sz w:val="24"/>
          <w:szCs w:val="24"/>
          <w:highlight w:val="none"/>
        </w:rPr>
        <w:t>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2A1C63"/>
    <w:rsid w:val="442A1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720"/>
      </w:tabs>
      <w:spacing w:line="0" w:lineRule="atLeast"/>
    </w:pPr>
    <w:rPr>
      <w:sz w:val="28"/>
    </w:rPr>
  </w:style>
  <w:style w:type="paragraph" w:styleId="3">
    <w:name w:val="Title"/>
    <w:basedOn w:val="1"/>
    <w:next w:val="1"/>
    <w:qFormat/>
    <w:uiPriority w:val="0"/>
    <w:pPr>
      <w:spacing w:before="240" w:after="60" w:line="440" w:lineRule="exact"/>
      <w:jc w:val="center"/>
      <w:outlineLvl w:val="0"/>
    </w:pPr>
    <w:rPr>
      <w:rFonts w:ascii="Cambria" w:hAnsi="Cambria" w:eastAsia="Arial Unicode MS"/>
      <w:b/>
      <w:bCs/>
      <w:sz w:val="32"/>
      <w:szCs w:val="32"/>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2025-09-25T10:55:00Z</dcterms:created>
  <dc:creator>緣來</dc:creator>
  <cp:lastModifiedBy>緣來</cp:lastModifiedBy>
  <dcterms:modified xsi:type="dcterms:W3CDTF">2025-09-25T10:56:11Z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25EAA79179694CA4B3BB7243DDE90243_11</vt:lpwstr>
  </property>
  <property fmtid="{D5CDD505-2E9C-101B-9397-08002B2CF9AE}" pid="4" name="KSOTemplateDocerSaveRecord">
    <vt:lpwstr>eyJoZGlkIjoiZjE1YjQ4NWY2MWE2Y2ZiNzE4NTU1MjQ3YTY1ZWQwZjAiLCJ1c2VySWQiOiI0MDY2NDY1NjQifQ==</vt:lpwstr>
  </property>
</Properties>
</file>