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49F0A">
      <w:pPr>
        <w:pStyle w:val="2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14D623A7">
      <w:pPr>
        <w:pStyle w:val="2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1DC8C37">
      <w:pPr>
        <w:pStyle w:val="2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75E6B15">
      <w:pPr>
        <w:pStyle w:val="2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74623F9F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渭南市“十五五”规划纲要编制服务项目</w:t>
      </w:r>
    </w:p>
    <w:p w14:paraId="7E5E3130">
      <w:pPr>
        <w:pStyle w:val="2"/>
        <w:rPr>
          <w:rFonts w:hint="eastAsia" w:ascii="宋体" w:hAnsi="宋体" w:eastAsia="宋体" w:cs="宋体"/>
        </w:rPr>
      </w:pPr>
    </w:p>
    <w:p w14:paraId="03D893D1">
      <w:pPr>
        <w:pStyle w:val="2"/>
        <w:rPr>
          <w:rFonts w:hint="eastAsia" w:ascii="宋体" w:hAnsi="宋体" w:eastAsia="宋体" w:cs="宋体"/>
        </w:rPr>
      </w:pPr>
    </w:p>
    <w:p w14:paraId="43C8CD3C">
      <w:pPr>
        <w:pStyle w:val="2"/>
        <w:rPr>
          <w:rFonts w:hint="eastAsia" w:ascii="宋体" w:hAnsi="宋体" w:eastAsia="宋体" w:cs="宋体"/>
        </w:rPr>
      </w:pPr>
    </w:p>
    <w:p w14:paraId="1ADDADCD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2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pacing w:val="12"/>
          <w:sz w:val="52"/>
          <w:szCs w:val="52"/>
        </w:rPr>
        <w:t>政府采购合同书</w:t>
      </w:r>
    </w:p>
    <w:p w14:paraId="3D49F01D">
      <w:pPr>
        <w:spacing w:line="360" w:lineRule="auto"/>
        <w:jc w:val="center"/>
        <w:rPr>
          <w:rFonts w:hint="eastAsia" w:ascii="宋体" w:hAnsi="宋体" w:eastAsia="宋体" w:cs="宋体"/>
          <w:spacing w:val="12"/>
          <w:sz w:val="32"/>
          <w:szCs w:val="32"/>
        </w:rPr>
      </w:pPr>
      <w:r>
        <w:rPr>
          <w:rFonts w:hint="eastAsia" w:ascii="宋体" w:hAnsi="宋体" w:eastAsia="宋体" w:cs="宋体"/>
          <w:spacing w:val="12"/>
          <w:sz w:val="32"/>
          <w:szCs w:val="32"/>
        </w:rPr>
        <w:t xml:space="preserve">                   </w:t>
      </w:r>
    </w:p>
    <w:p w14:paraId="30D72955">
      <w:pPr>
        <w:pStyle w:val="2"/>
        <w:rPr>
          <w:rFonts w:hint="eastAsia" w:ascii="宋体" w:hAnsi="宋体" w:eastAsia="宋体" w:cs="宋体"/>
          <w:spacing w:val="12"/>
        </w:rPr>
      </w:pPr>
    </w:p>
    <w:p w14:paraId="004EAC41">
      <w:pPr>
        <w:pStyle w:val="2"/>
        <w:rPr>
          <w:rFonts w:hint="eastAsia" w:ascii="宋体" w:hAnsi="宋体" w:eastAsia="宋体" w:cs="宋体"/>
          <w:spacing w:val="12"/>
        </w:rPr>
      </w:pPr>
    </w:p>
    <w:p w14:paraId="369E3E4F">
      <w:pPr>
        <w:pStyle w:val="6"/>
        <w:ind w:firstLine="0"/>
        <w:rPr>
          <w:rFonts w:hint="eastAsia" w:ascii="宋体" w:hAnsi="宋体" w:eastAsia="宋体" w:cs="宋体"/>
          <w:spacing w:val="12"/>
          <w:sz w:val="32"/>
          <w:szCs w:val="32"/>
        </w:rPr>
      </w:pPr>
    </w:p>
    <w:p w14:paraId="4389C64F">
      <w:pPr>
        <w:rPr>
          <w:rFonts w:hint="eastAsia" w:ascii="宋体" w:hAnsi="宋体" w:eastAsia="宋体" w:cs="宋体"/>
        </w:rPr>
      </w:pPr>
    </w:p>
    <w:p w14:paraId="2E01FF5C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EC0AED9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0524F9F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062A7F07">
      <w:pPr>
        <w:rPr>
          <w:rFonts w:hint="eastAsia" w:ascii="宋体" w:hAnsi="宋体" w:eastAsia="宋体" w:cs="宋体"/>
        </w:rPr>
      </w:pPr>
    </w:p>
    <w:p w14:paraId="5C180E3E">
      <w:pPr>
        <w:pStyle w:val="10"/>
        <w:ind w:left="0" w:leftChars="0" w:firstLine="0" w:firstLineChars="0"/>
        <w:rPr>
          <w:rFonts w:hint="eastAsia" w:ascii="宋体" w:hAnsi="宋体" w:eastAsia="宋体" w:cs="宋体"/>
        </w:rPr>
      </w:pPr>
    </w:p>
    <w:p w14:paraId="166C5AC0">
      <w:pPr>
        <w:spacing w:line="360" w:lineRule="auto"/>
        <w:ind w:firstLine="1726" w:firstLineChars="500"/>
        <w:jc w:val="left"/>
        <w:rPr>
          <w:rFonts w:hint="eastAsia" w:ascii="宋体" w:hAnsi="宋体" w:eastAsia="宋体" w:cs="宋体"/>
          <w:b/>
          <w:bCs/>
          <w:spacing w:val="1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采购人：渭南市发展和改革委员会</w:t>
      </w:r>
      <w:r>
        <w:rPr>
          <w:rFonts w:hint="eastAsia" w:ascii="宋体" w:hAnsi="宋体" w:cs="宋体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79D39F0">
      <w:pPr>
        <w:spacing w:line="360" w:lineRule="auto"/>
        <w:ind w:firstLine="1726" w:firstLineChars="500"/>
        <w:rPr>
          <w:rFonts w:hint="default" w:ascii="宋体" w:hAnsi="宋体" w:eastAsia="宋体" w:cs="宋体"/>
          <w:b/>
          <w:bCs/>
          <w:spacing w:val="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供应商：</w:t>
      </w:r>
      <w:r>
        <w:rPr>
          <w:rFonts w:hint="eastAsia" w:ascii="宋体" w:hAnsi="宋体" w:cs="宋体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6DE2819E">
      <w:pPr>
        <w:spacing w:line="360" w:lineRule="auto"/>
        <w:rPr>
          <w:rFonts w:hint="eastAsia"/>
          <w:sz w:val="24"/>
          <w:lang w:val="en-US" w:eastAsia="zh-CN"/>
        </w:rPr>
      </w:pPr>
    </w:p>
    <w:p w14:paraId="695B52EA">
      <w:pPr>
        <w:spacing w:line="360" w:lineRule="auto"/>
        <w:rPr>
          <w:rFonts w:hint="eastAsia"/>
          <w:sz w:val="24"/>
          <w:lang w:val="en-US" w:eastAsia="zh-CN"/>
        </w:rPr>
      </w:pPr>
    </w:p>
    <w:p w14:paraId="653CC74C">
      <w:pPr>
        <w:spacing w:line="360" w:lineRule="auto"/>
        <w:rPr>
          <w:rFonts w:hint="eastAsia"/>
          <w:sz w:val="24"/>
          <w:lang w:val="en-US" w:eastAsia="zh-CN"/>
        </w:rPr>
        <w:sectPr>
          <w:pgSz w:w="11906" w:h="16838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8" w:charSpace="0"/>
        </w:sectPr>
      </w:pPr>
    </w:p>
    <w:p w14:paraId="3E9E317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签</w:t>
      </w:r>
      <w:r>
        <w:rPr>
          <w:rFonts w:hint="eastAsia"/>
          <w:sz w:val="24"/>
        </w:rPr>
        <w:t>订地点：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 xml:space="preserve">  </w:t>
      </w:r>
    </w:p>
    <w:p w14:paraId="3D183B9C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              </w:t>
      </w:r>
      <w:r>
        <w:rPr>
          <w:sz w:val="24"/>
        </w:rPr>
        <w:t xml:space="preserve">  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 xml:space="preserve"> </w:t>
      </w:r>
    </w:p>
    <w:p w14:paraId="710BC8F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月  日</w:t>
      </w:r>
    </w:p>
    <w:p w14:paraId="12F08482"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采购人：渭南市发展和改革委员会</w:t>
      </w:r>
    </w:p>
    <w:p w14:paraId="48D1C105">
      <w:pPr>
        <w:spacing w:line="360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供应商：</w:t>
      </w:r>
      <w:r>
        <w:rPr>
          <w:rFonts w:hint="eastAsia"/>
          <w:sz w:val="24"/>
          <w:lang w:val="en-US" w:eastAsia="zh-CN"/>
        </w:rPr>
        <w:t xml:space="preserve"> </w:t>
      </w:r>
    </w:p>
    <w:p w14:paraId="1975F5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>渭南市“十五五”规划纲要编制服务项目</w:t>
      </w:r>
      <w:r>
        <w:rPr>
          <w:rFonts w:hint="eastAsia" w:ascii="宋体" w:hAnsi="宋体" w:eastAsia="宋体" w:cs="宋体"/>
          <w:sz w:val="24"/>
        </w:rPr>
        <w:t>的采购结果，按照《中华人民共和国政府采购法》、《中华人民共和国民法典》等规定，经双方协商，本着</w:t>
      </w:r>
      <w:r>
        <w:rPr>
          <w:rFonts w:hint="eastAsia" w:ascii="宋体" w:hAnsi="宋体" w:cs="宋体"/>
          <w:sz w:val="24"/>
          <w:lang w:val="en-US" w:eastAsia="zh-CN"/>
        </w:rPr>
        <w:t>公正</w:t>
      </w:r>
      <w:r>
        <w:rPr>
          <w:rFonts w:hint="eastAsia" w:ascii="宋体" w:hAnsi="宋体" w:eastAsia="宋体" w:cs="宋体"/>
          <w:sz w:val="24"/>
        </w:rPr>
        <w:t>和诚实信用的原则，一致同意签订本合同如下。</w:t>
      </w:r>
    </w:p>
    <w:p w14:paraId="5E0700F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一、合同文件</w:t>
      </w:r>
    </w:p>
    <w:p w14:paraId="47F0DA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1、合同条款；</w:t>
      </w:r>
    </w:p>
    <w:p w14:paraId="060CE7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文件；</w:t>
      </w:r>
    </w:p>
    <w:p w14:paraId="6DC65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文件；</w:t>
      </w:r>
    </w:p>
    <w:p w14:paraId="35F802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</w:rPr>
        <w:t>通知书；</w:t>
      </w:r>
    </w:p>
    <w:p w14:paraId="7B10065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5、其他。</w:t>
      </w:r>
    </w:p>
    <w:p w14:paraId="53B2EF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上述所指合同文件应认为是互相补充和解释的，但是有模棱两可或互相矛盾之处，以其所列内容顺序为准。</w:t>
      </w:r>
    </w:p>
    <w:p w14:paraId="0C5556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9090"/>
      <w:r>
        <w:rPr>
          <w:rFonts w:hint="eastAsia" w:ascii="宋体" w:hAnsi="宋体" w:eastAsia="宋体" w:cs="宋体"/>
          <w:sz w:val="24"/>
        </w:rPr>
        <w:t>二、合同价款</w:t>
      </w:r>
      <w:bookmarkEnd w:id="0"/>
    </w:p>
    <w:p w14:paraId="2E0136E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（一）合同总价款为人民币（大写）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4"/>
        </w:rPr>
        <w:t>（￥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</w:rPr>
        <w:t>）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</w:p>
    <w:p w14:paraId="58C072A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（二）合同总价款是指完成本次活动包含的所有</w:t>
      </w:r>
      <w:r>
        <w:rPr>
          <w:rFonts w:hint="eastAsia"/>
          <w:sz w:val="24"/>
          <w:lang w:val="en-US" w:eastAsia="zh-CN"/>
        </w:rPr>
        <w:t>费用</w:t>
      </w:r>
      <w:r>
        <w:rPr>
          <w:rFonts w:hint="eastAsia"/>
          <w:sz w:val="24"/>
        </w:rPr>
        <w:t>，包括但不限于本次项目资料整理费、编制费、咨询费、人工费、材料费、交通费、住宿费、管理费、评审费、税金、利润、磋商文件明示及暗示所有风险等所有费用，服务期内采购人不再增加任何费用。</w:t>
      </w:r>
    </w:p>
    <w:p w14:paraId="60961DD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（三）合同总价一次性包死，不受市场价格变化因素的影响。</w:t>
      </w:r>
      <w:bookmarkStart w:id="1" w:name="_Toc5628"/>
    </w:p>
    <w:p w14:paraId="19B35A30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三、款项结算</w:t>
      </w:r>
      <w:bookmarkEnd w:id="1"/>
    </w:p>
    <w:p w14:paraId="6A6BC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 xml:space="preserve">（一）合同价款的支付：本次服务费根据项目完成进度支付。双方签定合同7天后向供应商支付合同总价款的40%，供应商完成规划纲要报告，通过专家评审后，采购人支付合同总价款的40%，最终成果经采购人及相关部门验收合格，采购人支付剩余合同总价款的20%。        </w:t>
      </w:r>
    </w:p>
    <w:p w14:paraId="4E9CA20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结算方式：银行转账。</w:t>
      </w:r>
    </w:p>
    <w:p w14:paraId="27170FFA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支付方式：由采购人负责结算，合同签订后，供应商在接受付款前，开具等额发票给采购人。</w:t>
      </w:r>
    </w:p>
    <w:p w14:paraId="23E7D2FB">
      <w:pPr>
        <w:spacing w:line="360" w:lineRule="auto"/>
        <w:ind w:firstLine="482" w:firstLineChars="200"/>
        <w:rPr>
          <w:rFonts w:hint="eastAsia" w:eastAsia="宋体"/>
          <w:b/>
          <w:sz w:val="24"/>
          <w:lang w:eastAsia="zh-CN"/>
        </w:rPr>
      </w:pPr>
      <w:bookmarkStart w:id="2" w:name="_Toc12029"/>
      <w:r>
        <w:rPr>
          <w:rFonts w:hint="eastAsia"/>
          <w:b/>
          <w:sz w:val="24"/>
        </w:rPr>
        <w:t>四、服务</w:t>
      </w:r>
      <w:bookmarkEnd w:id="2"/>
      <w:r>
        <w:rPr>
          <w:rFonts w:hint="eastAsia"/>
          <w:b/>
          <w:sz w:val="24"/>
          <w:lang w:val="en-US" w:eastAsia="zh-CN"/>
        </w:rPr>
        <w:t>内容</w:t>
      </w:r>
    </w:p>
    <w:p w14:paraId="30A4F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（一）服务地点：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>。</w:t>
      </w:r>
    </w:p>
    <w:p w14:paraId="16C35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 w:cs="宋体"/>
          <w:kern w:val="0"/>
          <w:sz w:val="24"/>
          <w:szCs w:val="21"/>
        </w:rPr>
        <w:t>服务期</w:t>
      </w:r>
      <w:r>
        <w:rPr>
          <w:rFonts w:hint="eastAsia"/>
          <w:sz w:val="24"/>
        </w:rPr>
        <w:t>：</w:t>
      </w:r>
      <w:r>
        <w:rPr>
          <w:sz w:val="24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。</w:t>
      </w:r>
    </w:p>
    <w:p w14:paraId="4E7E021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服务内容：按照陕西省“十五五”发展规划编制工作的安排部署，为科学谋划我市未来五年的发展蓝图，推动经济社会高质量发展，委托第三方机构编制《渭南市国民经济和社会发展第十五个五年规划纲要》。</w:t>
      </w:r>
    </w:p>
    <w:p w14:paraId="79EE604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（四）服务要求：</w:t>
      </w:r>
    </w:p>
    <w:p w14:paraId="1C4EF42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（1）严格贯彻落实中省重大战略和决策部署，系统梳理我市“十四五”发展成果和短板，全面分析“十五五”时期面临的宏观环境、政策机遇、资源禀赋和发展阶段，一是提出渭南“十五五”规划建议；二是结合实际科学提出渭南市“十五五”发展的战略定位、精准设定经济社会发展目标，明确重点任务方向，提出具体可落地的实施路径和保障措施，确保编制一个具有全局性、前瞻性和引领性的“十五五”规划纲要。</w:t>
      </w:r>
    </w:p>
    <w:p w14:paraId="0035313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（2）确保渭南规划纲要在顶层设计上精准对接国家战略部署，将中省要求贯穿于渭南发展全局，紧贴渭南实际和发展所需，实现渭南规划与中省导向的深度融合。</w:t>
      </w:r>
    </w:p>
    <w:p w14:paraId="77436375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（五）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、成果形式及内容</w:t>
      </w:r>
    </w:p>
    <w:p w14:paraId="6CFD0A29">
      <w:pPr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内 容：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《渭南市国民经济和社会发展第十五个五年规划纲要》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        </w:t>
      </w:r>
    </w:p>
    <w:p w14:paraId="41FFD921"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形 式：纸质版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份，电子版1份。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3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3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</w:t>
      </w:r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资料</w:t>
      </w:r>
      <w:r>
        <w:rPr>
          <w:rFonts w:hint="eastAsia" w:ascii="宋体" w:hAnsi="宋体" w:cs="宋体"/>
          <w:b/>
          <w:kern w:val="0"/>
          <w:sz w:val="24"/>
          <w:szCs w:val="21"/>
        </w:rPr>
        <w:t>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59F879B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七、转让或分包</w:t>
      </w:r>
    </w:p>
    <w:p w14:paraId="755E41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945A4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28452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4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6894042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5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5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6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4．在编制成果工作过程中，如遇采购人所提供的材料有不统一、不明确、不详实之处时，应立即与采购人沟通，不得以此延误时间。</w:t>
      </w:r>
    </w:p>
    <w:p w14:paraId="755B27BF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</w:p>
    <w:p w14:paraId="182DDC3C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4"/>
        </w:rPr>
        <w:t>在规定时间内完成规划纲要的编制、专家论证评审等工作。同时，在规划编制过程中，根据编制需求随时配合实地研究，需及时与相关部门沟通协调，根据反馈意见迅速修改完善规划内容，确保规划编制工作按计划推进，保障规划编制高质高效完成。</w:t>
      </w:r>
      <w:bookmarkStart w:id="8" w:name="_GoBack"/>
      <w:bookmarkEnd w:id="8"/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十、服务保证</w:t>
      </w:r>
      <w:bookmarkEnd w:id="6"/>
    </w:p>
    <w:p w14:paraId="392AAA71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bookmarkStart w:id="7" w:name="_Toc26949"/>
      <w:r>
        <w:rPr>
          <w:rFonts w:hint="eastAsia" w:ascii="宋体" w:hAnsi="宋体" w:cs="宋体"/>
          <w:b w:val="0"/>
          <w:bCs/>
          <w:sz w:val="24"/>
        </w:rPr>
        <w:t>1.符合国家《“十五五”规划编制工作导则》、陕西省《“十五五”规划编制指导意见》及渭南市《国民经济和社会发展第十五个五年规划编制工作总体方案》要求、规程和有关技术规定；</w:t>
      </w:r>
    </w:p>
    <w:p w14:paraId="564DCAE2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</w:rPr>
        <w:t>2.成果文件及质量满足相关部门的规定。</w:t>
      </w:r>
    </w:p>
    <w:p w14:paraId="23302B34">
      <w:pPr>
        <w:spacing w:line="360" w:lineRule="auto"/>
        <w:ind w:firstLine="482" w:firstLineChars="200"/>
        <w:outlineLvl w:val="1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十一、违约责任</w:t>
      </w:r>
      <w:bookmarkEnd w:id="7"/>
    </w:p>
    <w:p w14:paraId="27F003D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（一）采购人因未及时向供应商提供项目启动所需资料、协调地方关系造成工期延误，每延误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日则本合同服务期限延长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日，以此类推。</w:t>
      </w:r>
    </w:p>
    <w:p w14:paraId="14296D7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（二）因供应商原因造成</w:t>
      </w:r>
      <w:r>
        <w:rPr>
          <w:rFonts w:hint="eastAsia" w:ascii="宋体" w:hAnsi="宋体" w:cs="宋体"/>
          <w:bCs/>
          <w:sz w:val="24"/>
          <w:lang w:val="en-US" w:eastAsia="zh-CN"/>
        </w:rPr>
        <w:t>服务</w:t>
      </w:r>
      <w:r>
        <w:rPr>
          <w:rFonts w:hint="eastAsia" w:ascii="宋体" w:hAnsi="宋体" w:cs="宋体"/>
          <w:bCs/>
          <w:sz w:val="24"/>
        </w:rPr>
        <w:t>期延误（自然灾害等不可抗力除外），采购人有权从未付款项中按每日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‰合同价款扣除违约金，此违约以</w:t>
      </w:r>
      <w:r>
        <w:rPr>
          <w:rFonts w:ascii="宋体" w:hAnsi="宋体" w:cs="宋体"/>
          <w:bCs/>
          <w:sz w:val="24"/>
        </w:rPr>
        <w:t>30</w:t>
      </w:r>
      <w:r>
        <w:rPr>
          <w:rFonts w:hint="eastAsia" w:ascii="宋体" w:hAnsi="宋体" w:cs="宋体"/>
          <w:bCs/>
          <w:sz w:val="24"/>
        </w:rPr>
        <w:t>日为限；若采购人未按约定时间付款，则供应商有权按每日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‰合同价款收取违约金。</w:t>
      </w:r>
    </w:p>
    <w:p w14:paraId="3F4BBD6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十二、不可抗力事件处理</w:t>
      </w:r>
    </w:p>
    <w:p w14:paraId="2D47BD6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 在合同有效期内，任何一方因不可抗力事件导致不能履行合同，则合同履行期可延长，其延长期与不可抗力影响期相同。</w:t>
      </w:r>
    </w:p>
    <w:p w14:paraId="5E60849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 不可抗力事件发生后，应立即通知对方，并寄送有关权威机构出具的证明。</w:t>
      </w:r>
    </w:p>
    <w:p w14:paraId="512BB9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3. 不可抗力事件延续120天以上，双方应通过友好协商，确定是否继续履行合同。</w:t>
      </w:r>
    </w:p>
    <w:p w14:paraId="027096C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十三、诉讼</w:t>
      </w:r>
    </w:p>
    <w:p w14:paraId="46C1D6A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0687E15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十四、合同生效及其它</w:t>
      </w:r>
    </w:p>
    <w:p w14:paraId="3690C75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7CA9E5A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5CA041E4">
      <w:pPr>
        <w:pStyle w:val="3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6622784D">
      <w:pPr>
        <w:pStyle w:val="3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2BBA613D">
      <w:pPr>
        <w:pStyle w:val="3"/>
        <w:spacing w:line="360" w:lineRule="auto"/>
        <w:ind w:firstLine="240" w:firstLineChars="10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供应商（章）：         </w:t>
      </w:r>
    </w:p>
    <w:p w14:paraId="0BC87BEE">
      <w:pPr>
        <w:pStyle w:val="3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3DA72B14">
      <w:pPr>
        <w:pStyle w:val="3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35E5EC0F">
      <w:pPr>
        <w:pStyle w:val="3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5A887F6C">
      <w:pPr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39B3CD14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                              年   月   </w:t>
      </w:r>
      <w:r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  <w:t>日</w:t>
      </w:r>
    </w:p>
    <w:p w14:paraId="73E4D961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4E610D9C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0B85BA69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4788E0E6">
      <w:pPr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</w:pPr>
      <w:r>
        <w:rPr>
          <w:rFonts w:hint="eastAsia" w:ascii="Tahoma" w:hAnsi="Tahoma"/>
          <w:lang w:val="en-US" w:eastAsia="zh-CN"/>
        </w:rPr>
        <w:t xml:space="preserve"> 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4E59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69B7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69B7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47876"/>
    <w:multiLevelType w:val="singleLevel"/>
    <w:tmpl w:val="B88478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90E5F"/>
    <w:rsid w:val="001424C8"/>
    <w:rsid w:val="0E5A57E3"/>
    <w:rsid w:val="11200E70"/>
    <w:rsid w:val="17F90E5F"/>
    <w:rsid w:val="1A380C99"/>
    <w:rsid w:val="2D0D6607"/>
    <w:rsid w:val="3C502C8E"/>
    <w:rsid w:val="50FC3F5A"/>
    <w:rsid w:val="561D7743"/>
    <w:rsid w:val="5A43662F"/>
    <w:rsid w:val="628478CC"/>
    <w:rsid w:val="63CD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2540</Words>
  <Characters>2652</Characters>
  <Lines>0</Lines>
  <Paragraphs>0</Paragraphs>
  <TotalTime>1</TotalTime>
  <ScaleCrop>false</ScaleCrop>
  <LinksUpToDate>false</LinksUpToDate>
  <CharactersWithSpaces>2893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2025-04-23T02:12:00Z</dcterms:created>
  <dc:creator>有点甜</dc:creator>
  <cp:lastModifiedBy>有点甜</cp:lastModifiedBy>
  <dcterms:modified xsi:type="dcterms:W3CDTF">2025-09-25T07:19:28Z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01878B576BA146A4B444EF82C15BADB0_13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