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F6E76">
      <w:pPr>
        <w:autoSpaceDE w:val="0"/>
        <w:autoSpaceDN w:val="0"/>
        <w:adjustRightInd w:val="0"/>
        <w:snapToGrid w:val="0"/>
        <w:spacing w:line="520" w:lineRule="exact"/>
        <w:ind w:firstLine="560" w:firstLineChars="200"/>
        <w:jc w:val="center"/>
        <w:rPr>
          <w:rFonts w:ascii="仿宋_GB2312" w:hAnsi="仿宋" w:eastAsia="仿宋_GB2312"/>
          <w:sz w:val="28"/>
          <w:szCs w:val="28"/>
          <w:lang w:val="zh-CN"/>
        </w:rPr>
      </w:pPr>
    </w:p>
    <w:p w14:paraId="4C213AD5">
      <w:pPr>
        <w:autoSpaceDE w:val="0"/>
        <w:autoSpaceDN w:val="0"/>
        <w:adjustRightInd w:val="0"/>
        <w:snapToGrid w:val="0"/>
        <w:spacing w:line="520" w:lineRule="exact"/>
        <w:ind w:firstLine="560" w:firstLineChars="200"/>
        <w:jc w:val="center"/>
        <w:rPr>
          <w:rFonts w:ascii="仿宋_GB2312" w:hAnsi="仿宋" w:eastAsia="仿宋_GB2312"/>
          <w:sz w:val="28"/>
          <w:szCs w:val="28"/>
          <w:lang w:val="zh-CN"/>
        </w:rPr>
      </w:pPr>
    </w:p>
    <w:p w14:paraId="30359DD4">
      <w:pPr>
        <w:jc w:val="center"/>
        <w:rPr>
          <w:rFonts w:hint="eastAsia" w:ascii="宋体" w:hAnsi="宋体" w:eastAsia="宋体" w:cs="宋体"/>
          <w:b/>
          <w:bCs/>
          <w:i w:val="0"/>
          <w:iCs w:val="0"/>
          <w:caps w:val="0"/>
          <w:color w:val="333333"/>
          <w:spacing w:val="0"/>
          <w:sz w:val="27"/>
          <w:szCs w:val="27"/>
        </w:rPr>
      </w:pPr>
      <w:r>
        <w:rPr>
          <w:rFonts w:hint="eastAsia" w:ascii="宋体" w:hAnsi="宋体"/>
          <w:b/>
          <w:sz w:val="44"/>
          <w:szCs w:val="44"/>
        </w:rPr>
        <w:t>渭南市住房公积金管理中心</w:t>
      </w:r>
    </w:p>
    <w:p w14:paraId="19FABAED">
      <w:pPr>
        <w:jc w:val="center"/>
        <w:rPr>
          <w:rFonts w:hint="eastAsia" w:ascii="宋体" w:hAnsi="宋体"/>
          <w:b/>
          <w:sz w:val="44"/>
          <w:szCs w:val="44"/>
        </w:rPr>
      </w:pPr>
      <w:r>
        <w:rPr>
          <w:rFonts w:hint="eastAsia" w:ascii="宋体" w:hAnsi="宋体"/>
          <w:b/>
          <w:sz w:val="44"/>
          <w:szCs w:val="44"/>
        </w:rPr>
        <w:t>视频会议系统建设项目</w:t>
      </w:r>
    </w:p>
    <w:p w14:paraId="3686A624">
      <w:pPr>
        <w:jc w:val="center"/>
        <w:rPr>
          <w:rFonts w:ascii="宋体" w:hAnsi="宋体"/>
          <w:b/>
          <w:sz w:val="44"/>
          <w:szCs w:val="44"/>
        </w:rPr>
      </w:pPr>
      <w:r>
        <w:rPr>
          <w:rFonts w:hint="eastAsia" w:ascii="宋体" w:hAnsi="宋体"/>
          <w:b/>
          <w:sz w:val="44"/>
          <w:szCs w:val="44"/>
        </w:rPr>
        <w:t>合 同 书</w:t>
      </w:r>
    </w:p>
    <w:p w14:paraId="05A9CA11">
      <w:pPr>
        <w:jc w:val="center"/>
        <w:rPr>
          <w:rFonts w:ascii="宋体" w:hAnsi="宋体"/>
          <w:b/>
          <w:sz w:val="48"/>
          <w:szCs w:val="48"/>
        </w:rPr>
      </w:pPr>
    </w:p>
    <w:p w14:paraId="6BDF437E">
      <w:pPr>
        <w:jc w:val="center"/>
        <w:rPr>
          <w:rFonts w:ascii="宋体" w:hAnsi="宋体"/>
          <w:b/>
          <w:sz w:val="48"/>
          <w:szCs w:val="48"/>
        </w:rPr>
      </w:pPr>
    </w:p>
    <w:p w14:paraId="5406C990">
      <w:pPr>
        <w:jc w:val="center"/>
        <w:rPr>
          <w:rFonts w:ascii="宋体" w:hAnsi="宋体"/>
          <w:b/>
          <w:sz w:val="48"/>
          <w:szCs w:val="48"/>
        </w:rPr>
      </w:pPr>
    </w:p>
    <w:p w14:paraId="5C88927A">
      <w:pPr>
        <w:autoSpaceDE w:val="0"/>
        <w:autoSpaceDN w:val="0"/>
        <w:adjustRightInd w:val="0"/>
        <w:snapToGrid w:val="0"/>
        <w:spacing w:line="360" w:lineRule="auto"/>
        <w:ind w:firstLine="1928" w:firstLineChars="600"/>
        <w:rPr>
          <w:rFonts w:ascii="仿宋" w:hAnsi="仿宋" w:eastAsia="仿宋"/>
          <w:b/>
          <w:sz w:val="32"/>
          <w:szCs w:val="32"/>
        </w:rPr>
      </w:pPr>
      <w:r>
        <w:rPr>
          <w:rFonts w:hint="eastAsia" w:ascii="仿宋" w:hAnsi="仿宋" w:eastAsia="仿宋"/>
          <w:b/>
          <w:sz w:val="32"/>
          <w:szCs w:val="32"/>
        </w:rPr>
        <w:t>合同编号：</w:t>
      </w:r>
    </w:p>
    <w:p w14:paraId="6DD8AA30">
      <w:pPr>
        <w:autoSpaceDE w:val="0"/>
        <w:autoSpaceDN w:val="0"/>
        <w:adjustRightInd w:val="0"/>
        <w:snapToGrid w:val="0"/>
        <w:spacing w:line="360" w:lineRule="auto"/>
        <w:jc w:val="center"/>
        <w:outlineLvl w:val="0"/>
        <w:rPr>
          <w:rFonts w:ascii="宋体" w:hAnsi="宋体"/>
          <w:b/>
          <w:bCs/>
          <w:sz w:val="30"/>
          <w:szCs w:val="30"/>
        </w:rPr>
      </w:pPr>
    </w:p>
    <w:p w14:paraId="3F84D45E">
      <w:pPr>
        <w:jc w:val="center"/>
        <w:rPr>
          <w:rFonts w:ascii="仿宋" w:hAnsi="仿宋" w:eastAsia="仿宋"/>
          <w:b/>
          <w:sz w:val="32"/>
          <w:szCs w:val="32"/>
        </w:rPr>
      </w:pPr>
    </w:p>
    <w:p w14:paraId="4A9720B3">
      <w:pPr>
        <w:rPr>
          <w:rFonts w:ascii="仿宋" w:hAnsi="仿宋" w:eastAsia="仿宋"/>
          <w:b/>
        </w:rPr>
      </w:pPr>
    </w:p>
    <w:p w14:paraId="6EF3FD44">
      <w:pPr>
        <w:rPr>
          <w:rFonts w:ascii="仿宋" w:hAnsi="仿宋" w:eastAsia="仿宋"/>
          <w:b/>
        </w:rPr>
      </w:pPr>
    </w:p>
    <w:p w14:paraId="440FF5F9">
      <w:pPr>
        <w:rPr>
          <w:rFonts w:ascii="仿宋" w:hAnsi="仿宋" w:eastAsia="仿宋"/>
          <w:b/>
        </w:rPr>
      </w:pPr>
    </w:p>
    <w:p w14:paraId="06F28569">
      <w:pPr>
        <w:rPr>
          <w:rFonts w:ascii="仿宋" w:hAnsi="仿宋" w:eastAsia="仿宋"/>
          <w:b/>
        </w:rPr>
      </w:pPr>
    </w:p>
    <w:p w14:paraId="22DD8252">
      <w:pPr>
        <w:rPr>
          <w:rFonts w:ascii="仿宋" w:hAnsi="仿宋" w:eastAsia="仿宋"/>
          <w:b/>
          <w:sz w:val="48"/>
          <w:szCs w:val="48"/>
        </w:rPr>
      </w:pPr>
    </w:p>
    <w:p w14:paraId="47FAA596">
      <w:pPr>
        <w:rPr>
          <w:rFonts w:ascii="仿宋" w:hAnsi="仿宋" w:eastAsia="仿宋"/>
          <w:b/>
          <w:sz w:val="48"/>
          <w:szCs w:val="48"/>
        </w:rPr>
      </w:pPr>
    </w:p>
    <w:p w14:paraId="3FD13E63">
      <w:pPr>
        <w:rPr>
          <w:rFonts w:ascii="仿宋" w:hAnsi="仿宋" w:eastAsia="仿宋"/>
          <w:b/>
          <w:sz w:val="48"/>
          <w:szCs w:val="48"/>
        </w:rPr>
      </w:pPr>
    </w:p>
    <w:p w14:paraId="6641F81E">
      <w:pPr>
        <w:rPr>
          <w:rFonts w:ascii="仿宋" w:hAnsi="仿宋" w:eastAsia="仿宋"/>
          <w:b/>
          <w:sz w:val="48"/>
          <w:szCs w:val="48"/>
        </w:rPr>
      </w:pPr>
    </w:p>
    <w:p w14:paraId="7270AC28">
      <w:pPr>
        <w:rPr>
          <w:rFonts w:ascii="仿宋" w:hAnsi="仿宋" w:eastAsia="仿宋"/>
          <w:b/>
          <w:sz w:val="48"/>
          <w:szCs w:val="48"/>
        </w:rPr>
      </w:pPr>
    </w:p>
    <w:p w14:paraId="113BC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1285" w:firstLineChars="400"/>
        <w:jc w:val="both"/>
        <w:rPr>
          <w:rFonts w:hint="eastAsia" w:ascii="宋体" w:hAnsi="宋体" w:eastAsia="宋体" w:cs="宋体"/>
          <w:b/>
          <w:bCs/>
          <w:i w:val="0"/>
          <w:iCs w:val="0"/>
          <w:caps w:val="0"/>
          <w:color w:val="333333"/>
          <w:spacing w:val="0"/>
          <w:sz w:val="27"/>
          <w:szCs w:val="27"/>
        </w:rPr>
      </w:pPr>
      <w:r>
        <w:rPr>
          <w:rFonts w:hint="eastAsia" w:ascii="仿宋" w:hAnsi="仿宋" w:eastAsia="仿宋"/>
          <w:b/>
          <w:sz w:val="32"/>
          <w:szCs w:val="32"/>
        </w:rPr>
        <w:t>甲  方：</w:t>
      </w:r>
      <w:r>
        <w:rPr>
          <w:rFonts w:hint="eastAsia" w:ascii="宋体" w:hAnsi="宋体" w:eastAsia="宋体" w:cs="宋体"/>
          <w:b/>
          <w:bCs/>
          <w:i w:val="0"/>
          <w:iCs w:val="0"/>
          <w:caps w:val="0"/>
          <w:color w:val="333333"/>
          <w:spacing w:val="0"/>
          <w:sz w:val="27"/>
          <w:szCs w:val="27"/>
          <w:shd w:val="clear" w:fill="FFFFFF"/>
        </w:rPr>
        <w:t>渭南市住房公积金管理中心</w:t>
      </w:r>
    </w:p>
    <w:p w14:paraId="4E71A7EC">
      <w:pPr>
        <w:spacing w:line="680" w:lineRule="exact"/>
        <w:ind w:firstLine="1285" w:firstLineChars="400"/>
        <w:rPr>
          <w:rFonts w:ascii="仿宋" w:hAnsi="仿宋" w:eastAsia="仿宋"/>
          <w:b/>
          <w:sz w:val="48"/>
          <w:szCs w:val="48"/>
        </w:rPr>
      </w:pPr>
      <w:r>
        <w:rPr>
          <w:rFonts w:hint="eastAsia" w:ascii="仿宋" w:hAnsi="仿宋" w:eastAsia="仿宋"/>
          <w:b/>
          <w:sz w:val="32"/>
          <w:szCs w:val="32"/>
        </w:rPr>
        <w:t>乙  方：</w:t>
      </w:r>
    </w:p>
    <w:p w14:paraId="71EE02F6">
      <w:pPr>
        <w:tabs>
          <w:tab w:val="left" w:pos="1995"/>
        </w:tabs>
        <w:spacing w:line="680" w:lineRule="exact"/>
        <w:ind w:firstLine="1269" w:firstLineChars="395"/>
        <w:rPr>
          <w:rFonts w:ascii="仿宋" w:hAnsi="仿宋" w:eastAsia="仿宋"/>
          <w:b/>
          <w:sz w:val="32"/>
          <w:szCs w:val="32"/>
        </w:rPr>
      </w:pPr>
      <w:r>
        <w:rPr>
          <w:rFonts w:hint="eastAsia" w:ascii="仿宋" w:hAnsi="仿宋" w:eastAsia="仿宋"/>
          <w:b/>
          <w:sz w:val="32"/>
          <w:szCs w:val="32"/>
        </w:rPr>
        <w:t>签订时间：202</w:t>
      </w:r>
      <w:r>
        <w:rPr>
          <w:rFonts w:hint="eastAsia" w:ascii="仿宋" w:hAnsi="仿宋" w:eastAsia="仿宋"/>
          <w:b/>
          <w:sz w:val="32"/>
          <w:szCs w:val="32"/>
          <w:lang w:val="en-US" w:eastAsia="zh-CN"/>
        </w:rPr>
        <w:t>5</w:t>
      </w:r>
      <w:r>
        <w:rPr>
          <w:rFonts w:hint="eastAsia" w:ascii="仿宋" w:hAnsi="仿宋" w:eastAsia="仿宋"/>
          <w:b/>
          <w:sz w:val="32"/>
          <w:szCs w:val="32"/>
        </w:rPr>
        <w:t>年 月</w:t>
      </w:r>
    </w:p>
    <w:p w14:paraId="606B8C6A">
      <w:pPr>
        <w:autoSpaceDE w:val="0"/>
        <w:autoSpaceDN w:val="0"/>
        <w:adjustRightInd w:val="0"/>
        <w:snapToGrid w:val="0"/>
        <w:spacing w:line="480" w:lineRule="auto"/>
        <w:ind w:firstLine="560" w:firstLineChars="200"/>
        <w:rPr>
          <w:rFonts w:hint="eastAsia" w:ascii="仿宋" w:hAnsi="仿宋" w:eastAsia="仿宋"/>
          <w:sz w:val="28"/>
          <w:szCs w:val="28"/>
          <w:lang w:val="zh-CN"/>
        </w:rPr>
      </w:pPr>
    </w:p>
    <w:p w14:paraId="063CFC1C">
      <w:pPr>
        <w:pStyle w:val="5"/>
        <w:keepNext w:val="0"/>
        <w:keepLines w:val="0"/>
        <w:pageBreakBefore w:val="0"/>
        <w:widowControl w:val="0"/>
        <w:kinsoku/>
        <w:wordWrap/>
        <w:overflowPunct/>
        <w:topLinePunct w:val="0"/>
        <w:autoSpaceDE/>
        <w:autoSpaceDN/>
        <w:bidi w:val="0"/>
        <w:adjustRightInd/>
        <w:snapToGrid/>
        <w:spacing w:after="100"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渭南市政府采购中心202</w:t>
      </w:r>
      <w:r>
        <w:rPr>
          <w:rFonts w:hint="eastAsia" w:ascii="仿宋" w:hAnsi="仿宋" w:eastAsia="仿宋"/>
          <w:sz w:val="32"/>
          <w:szCs w:val="32"/>
          <w:lang w:val="en-US" w:eastAsia="zh-CN"/>
        </w:rPr>
        <w:t>5</w:t>
      </w:r>
      <w:r>
        <w:rPr>
          <w:rFonts w:hint="eastAsia" w:ascii="仿宋" w:hAnsi="仿宋" w:eastAsia="仿宋"/>
          <w:sz w:val="32"/>
          <w:szCs w:val="32"/>
        </w:rPr>
        <w:t>年   月   日，在渭南市市民综合服务中心组织的渭南市住房公积金管理中心视频会议系统建设项目采购活动中，             公司为中标供应商，现就有关事宜协议如下：</w:t>
      </w:r>
    </w:p>
    <w:p w14:paraId="4C3957DC">
      <w:pPr>
        <w:pStyle w:val="6"/>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宋体"/>
          <w:b/>
          <w:bCs/>
          <w:sz w:val="28"/>
          <w:szCs w:val="28"/>
        </w:rPr>
      </w:pPr>
      <w:r>
        <w:rPr>
          <w:rFonts w:hint="eastAsia" w:ascii="仿宋" w:hAnsi="仿宋" w:eastAsia="仿宋" w:cs="宋体"/>
          <w:b/>
          <w:bCs/>
          <w:sz w:val="28"/>
          <w:szCs w:val="28"/>
        </w:rPr>
        <w:t>所需货物名称、规格、数量及价格</w:t>
      </w:r>
    </w:p>
    <w:tbl>
      <w:tblPr>
        <w:tblStyle w:val="3"/>
        <w:tblpPr w:vertAnchor="page" w:horzAnchor="page" w:tblpX="1792" w:tblpY="4814"/>
        <w:tblOverlap w:val="never"/>
        <w:tblW w:w="8527" w:type="dxa"/>
        <w:tblInd w:w="0" w:type="dxa"/>
        <w:tblLayout w:type="fixed"/>
        <w:tblCellMar>
          <w:top w:w="0" w:type="dxa"/>
          <w:left w:w="10" w:type="dxa"/>
          <w:bottom w:w="0" w:type="dxa"/>
          <w:right w:w="10" w:type="dxa"/>
        </w:tblCellMar>
      </w:tblPr>
      <w:tblGrid>
        <w:gridCol w:w="941"/>
        <w:gridCol w:w="720"/>
        <w:gridCol w:w="1186"/>
        <w:gridCol w:w="1860"/>
        <w:gridCol w:w="1875"/>
        <w:gridCol w:w="1945"/>
      </w:tblGrid>
      <w:tr w14:paraId="2B21E070">
        <w:tblPrEx>
          <w:tblCellMar>
            <w:top w:w="0" w:type="dxa"/>
            <w:left w:w="10" w:type="dxa"/>
            <w:bottom w:w="0" w:type="dxa"/>
            <w:right w:w="10" w:type="dxa"/>
          </w:tblCellMar>
        </w:tblPrEx>
        <w:trPr>
          <w:trHeight w:val="864" w:hRule="exact"/>
        </w:trPr>
        <w:tc>
          <w:tcPr>
            <w:tcW w:w="941" w:type="dxa"/>
            <w:tcBorders>
              <w:top w:val="single" w:color="auto" w:sz="4" w:space="0"/>
              <w:left w:val="single" w:color="auto" w:sz="4" w:space="0"/>
            </w:tcBorders>
            <w:shd w:val="clear" w:color="auto" w:fill="auto"/>
            <w:noWrap w:val="0"/>
            <w:vAlign w:val="center"/>
          </w:tcPr>
          <w:p w14:paraId="171D170A">
            <w:pPr>
              <w:pStyle w:val="7"/>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bookmarkStart w:id="0" w:name="_GoBack"/>
            <w:r>
              <w:t>序</w:t>
            </w:r>
            <w:r>
              <w:rPr>
                <w:rFonts w:hint="eastAsia"/>
                <w:lang w:val="en-US" w:eastAsia="zh-CN"/>
              </w:rPr>
              <w:t xml:space="preserve"> </w:t>
            </w:r>
            <w:r>
              <w:t>号</w:t>
            </w:r>
          </w:p>
        </w:tc>
        <w:tc>
          <w:tcPr>
            <w:tcW w:w="1906" w:type="dxa"/>
            <w:gridSpan w:val="2"/>
            <w:tcBorders>
              <w:top w:val="single" w:color="auto" w:sz="4" w:space="0"/>
              <w:left w:val="single" w:color="auto" w:sz="4" w:space="0"/>
            </w:tcBorders>
            <w:shd w:val="clear" w:color="auto" w:fill="auto"/>
            <w:noWrap w:val="0"/>
            <w:vAlign w:val="center"/>
          </w:tcPr>
          <w:p w14:paraId="68D60011">
            <w:pPr>
              <w:pStyle w:val="7"/>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t>名</w:t>
            </w:r>
            <w:r>
              <w:rPr>
                <w:rFonts w:hint="eastAsia"/>
                <w:lang w:val="en-US" w:eastAsia="zh-CN"/>
              </w:rPr>
              <w:t xml:space="preserve">  </w:t>
            </w:r>
            <w:r>
              <w:t>称</w:t>
            </w:r>
          </w:p>
        </w:tc>
        <w:tc>
          <w:tcPr>
            <w:tcW w:w="1860" w:type="dxa"/>
            <w:tcBorders>
              <w:top w:val="single" w:color="auto" w:sz="4" w:space="0"/>
              <w:left w:val="single" w:color="auto" w:sz="4" w:space="0"/>
            </w:tcBorders>
            <w:shd w:val="clear" w:color="auto" w:fill="auto"/>
            <w:noWrap w:val="0"/>
            <w:vAlign w:val="center"/>
          </w:tcPr>
          <w:p w14:paraId="702CF7FF">
            <w:pPr>
              <w:pStyle w:val="7"/>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t>规</w:t>
            </w:r>
            <w:r>
              <w:rPr>
                <w:rFonts w:hint="eastAsia"/>
                <w:lang w:val="en-US" w:eastAsia="zh-CN"/>
              </w:rPr>
              <w:t xml:space="preserve">  </w:t>
            </w:r>
            <w:r>
              <w:t>格</w:t>
            </w:r>
          </w:p>
        </w:tc>
        <w:tc>
          <w:tcPr>
            <w:tcW w:w="1875" w:type="dxa"/>
            <w:tcBorders>
              <w:top w:val="single" w:color="auto" w:sz="4" w:space="0"/>
              <w:left w:val="single" w:color="auto" w:sz="4" w:space="0"/>
            </w:tcBorders>
            <w:shd w:val="clear" w:color="auto" w:fill="auto"/>
            <w:noWrap w:val="0"/>
            <w:vAlign w:val="center"/>
          </w:tcPr>
          <w:p w14:paraId="6F6431A3">
            <w:pPr>
              <w:pStyle w:val="7"/>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t>数</w:t>
            </w:r>
            <w:r>
              <w:rPr>
                <w:rFonts w:hint="eastAsia"/>
                <w:lang w:val="en-US" w:eastAsia="zh-CN"/>
              </w:rPr>
              <w:t xml:space="preserve">  </w:t>
            </w:r>
            <w:r>
              <w:t>量</w:t>
            </w:r>
          </w:p>
        </w:tc>
        <w:tc>
          <w:tcPr>
            <w:tcW w:w="1945" w:type="dxa"/>
            <w:tcBorders>
              <w:top w:val="single" w:color="auto" w:sz="4" w:space="0"/>
              <w:left w:val="single" w:color="auto" w:sz="4" w:space="0"/>
              <w:right w:val="single" w:color="auto" w:sz="4" w:space="0"/>
            </w:tcBorders>
            <w:shd w:val="clear" w:color="auto" w:fill="auto"/>
            <w:noWrap w:val="0"/>
            <w:vAlign w:val="center"/>
          </w:tcPr>
          <w:p w14:paraId="173116A0">
            <w:pPr>
              <w:pStyle w:val="7"/>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hint="eastAsia"/>
                <w:lang w:eastAsia="zh-CN"/>
              </w:rPr>
              <w:t>价</w:t>
            </w:r>
            <w:r>
              <w:rPr>
                <w:rFonts w:hint="eastAsia"/>
                <w:lang w:val="en-US" w:eastAsia="zh-CN"/>
              </w:rPr>
              <w:t xml:space="preserve">  </w:t>
            </w:r>
            <w:r>
              <w:rPr>
                <w:rFonts w:hint="eastAsia"/>
                <w:lang w:eastAsia="zh-CN"/>
              </w:rPr>
              <w:t>格</w:t>
            </w:r>
            <w:r>
              <w:t>（元）</w:t>
            </w:r>
          </w:p>
        </w:tc>
      </w:tr>
      <w:tr w14:paraId="3E91124B">
        <w:tblPrEx>
          <w:tblCellMar>
            <w:top w:w="0" w:type="dxa"/>
            <w:left w:w="10" w:type="dxa"/>
            <w:bottom w:w="0" w:type="dxa"/>
            <w:right w:w="10" w:type="dxa"/>
          </w:tblCellMar>
        </w:tblPrEx>
        <w:trPr>
          <w:trHeight w:val="723" w:hRule="exact"/>
        </w:trPr>
        <w:tc>
          <w:tcPr>
            <w:tcW w:w="941" w:type="dxa"/>
            <w:tcBorders>
              <w:top w:val="single" w:color="auto" w:sz="4" w:space="0"/>
              <w:left w:val="single" w:color="auto" w:sz="4" w:space="0"/>
            </w:tcBorders>
            <w:shd w:val="clear" w:color="auto" w:fill="auto"/>
            <w:noWrap w:val="0"/>
            <w:vAlign w:val="center"/>
          </w:tcPr>
          <w:p w14:paraId="5ECCE622">
            <w:pPr>
              <w:pStyle w:val="7"/>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t>1</w:t>
            </w:r>
          </w:p>
        </w:tc>
        <w:tc>
          <w:tcPr>
            <w:tcW w:w="1906" w:type="dxa"/>
            <w:gridSpan w:val="2"/>
            <w:tcBorders>
              <w:top w:val="single" w:color="auto" w:sz="4" w:space="0"/>
              <w:left w:val="single" w:color="auto" w:sz="4" w:space="0"/>
            </w:tcBorders>
            <w:shd w:val="clear" w:color="auto" w:fill="auto"/>
            <w:noWrap w:val="0"/>
            <w:vAlign w:val="center"/>
          </w:tcPr>
          <w:p w14:paraId="5C6159A2">
            <w:pPr>
              <w:pStyle w:val="7"/>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eastAsia="宋体"/>
              </w:rPr>
            </w:pPr>
          </w:p>
        </w:tc>
        <w:tc>
          <w:tcPr>
            <w:tcW w:w="1860" w:type="dxa"/>
            <w:tcBorders>
              <w:top w:val="single" w:color="auto" w:sz="4" w:space="0"/>
              <w:left w:val="single" w:color="auto" w:sz="4" w:space="0"/>
            </w:tcBorders>
            <w:shd w:val="clear" w:color="auto" w:fill="auto"/>
            <w:noWrap w:val="0"/>
            <w:vAlign w:val="top"/>
          </w:tcPr>
          <w:p w14:paraId="69F6E20F">
            <w:pPr>
              <w:keepNext w:val="0"/>
              <w:keepLines w:val="0"/>
              <w:pageBreakBefore w:val="0"/>
              <w:widowControl w:val="0"/>
              <w:kinsoku/>
              <w:wordWrap/>
              <w:overflowPunct/>
              <w:topLinePunct w:val="0"/>
              <w:autoSpaceDE/>
              <w:autoSpaceDN/>
              <w:bidi w:val="0"/>
              <w:adjustRightInd/>
              <w:snapToGrid/>
              <w:spacing w:line="560" w:lineRule="exact"/>
              <w:textAlignment w:val="auto"/>
              <w:rPr>
                <w:sz w:val="24"/>
                <w:szCs w:val="24"/>
              </w:rPr>
            </w:pPr>
          </w:p>
        </w:tc>
        <w:tc>
          <w:tcPr>
            <w:tcW w:w="1875" w:type="dxa"/>
            <w:tcBorders>
              <w:top w:val="single" w:color="auto" w:sz="4" w:space="0"/>
              <w:left w:val="single" w:color="auto" w:sz="4" w:space="0"/>
            </w:tcBorders>
            <w:shd w:val="clear" w:color="auto" w:fill="auto"/>
            <w:noWrap w:val="0"/>
            <w:vAlign w:val="top"/>
          </w:tcPr>
          <w:p w14:paraId="66A378C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45" w:type="dxa"/>
            <w:tcBorders>
              <w:top w:val="single" w:color="auto" w:sz="4" w:space="0"/>
              <w:left w:val="single" w:color="auto" w:sz="4" w:space="0"/>
              <w:right w:val="single" w:color="auto" w:sz="4" w:space="0"/>
            </w:tcBorders>
            <w:shd w:val="clear" w:color="auto" w:fill="auto"/>
            <w:noWrap w:val="0"/>
            <w:vAlign w:val="top"/>
          </w:tcPr>
          <w:p w14:paraId="427312CD">
            <w:pPr>
              <w:keepNext w:val="0"/>
              <w:keepLines w:val="0"/>
              <w:pageBreakBefore w:val="0"/>
              <w:widowControl w:val="0"/>
              <w:kinsoku/>
              <w:wordWrap/>
              <w:overflowPunct/>
              <w:topLinePunct w:val="0"/>
              <w:autoSpaceDE/>
              <w:autoSpaceDN/>
              <w:bidi w:val="0"/>
              <w:adjustRightInd/>
              <w:snapToGrid/>
              <w:spacing w:line="560" w:lineRule="exact"/>
              <w:textAlignment w:val="auto"/>
              <w:rPr>
                <w:sz w:val="10"/>
                <w:szCs w:val="10"/>
              </w:rPr>
            </w:pPr>
          </w:p>
        </w:tc>
      </w:tr>
      <w:tr w14:paraId="1E2CCBEB">
        <w:tblPrEx>
          <w:tblCellMar>
            <w:top w:w="0" w:type="dxa"/>
            <w:left w:w="10" w:type="dxa"/>
            <w:bottom w:w="0" w:type="dxa"/>
            <w:right w:w="10" w:type="dxa"/>
          </w:tblCellMar>
        </w:tblPrEx>
        <w:trPr>
          <w:trHeight w:val="600" w:hRule="exact"/>
        </w:trPr>
        <w:tc>
          <w:tcPr>
            <w:tcW w:w="1661" w:type="dxa"/>
            <w:gridSpan w:val="2"/>
            <w:vMerge w:val="restart"/>
            <w:tcBorders>
              <w:top w:val="single" w:color="auto" w:sz="4" w:space="0"/>
              <w:left w:val="single" w:color="auto" w:sz="4" w:space="0"/>
            </w:tcBorders>
            <w:shd w:val="clear" w:color="auto" w:fill="auto"/>
            <w:noWrap w:val="0"/>
            <w:vAlign w:val="center"/>
          </w:tcPr>
          <w:p w14:paraId="16F7AF4E">
            <w:pPr>
              <w:pStyle w:val="7"/>
              <w:keepNext w:val="0"/>
              <w:keepLines w:val="0"/>
              <w:pageBreakBefore w:val="0"/>
              <w:widowControl w:val="0"/>
              <w:kinsoku/>
              <w:wordWrap/>
              <w:overflowPunct/>
              <w:topLinePunct w:val="0"/>
              <w:autoSpaceDE/>
              <w:autoSpaceDN/>
              <w:bidi w:val="0"/>
              <w:adjustRightInd/>
              <w:snapToGrid/>
              <w:spacing w:after="200" w:line="560" w:lineRule="exact"/>
              <w:ind w:firstLine="0"/>
              <w:jc w:val="center"/>
              <w:textAlignment w:val="auto"/>
            </w:pPr>
            <w:r>
              <w:t>合同总金额</w:t>
            </w:r>
          </w:p>
        </w:tc>
        <w:tc>
          <w:tcPr>
            <w:tcW w:w="6866" w:type="dxa"/>
            <w:gridSpan w:val="4"/>
            <w:tcBorders>
              <w:top w:val="single" w:color="auto" w:sz="4" w:space="0"/>
              <w:left w:val="single" w:color="auto" w:sz="4" w:space="0"/>
              <w:right w:val="single" w:color="auto" w:sz="4" w:space="0"/>
            </w:tcBorders>
            <w:shd w:val="clear" w:color="auto" w:fill="auto"/>
            <w:noWrap w:val="0"/>
            <w:vAlign w:val="center"/>
          </w:tcPr>
          <w:p w14:paraId="39BC5571">
            <w:pPr>
              <w:pStyle w:val="7"/>
              <w:keepNext w:val="0"/>
              <w:keepLines w:val="0"/>
              <w:pageBreakBefore w:val="0"/>
              <w:widowControl w:val="0"/>
              <w:kinsoku/>
              <w:wordWrap/>
              <w:overflowPunct/>
              <w:topLinePunct w:val="0"/>
              <w:autoSpaceDE/>
              <w:autoSpaceDN/>
              <w:bidi w:val="0"/>
              <w:adjustRightInd/>
              <w:snapToGrid/>
              <w:spacing w:line="560" w:lineRule="exact"/>
              <w:ind w:firstLine="0"/>
              <w:textAlignment w:val="auto"/>
            </w:pPr>
            <w:r>
              <w:t>人民币元（小写）：</w:t>
            </w:r>
          </w:p>
        </w:tc>
      </w:tr>
      <w:tr w14:paraId="2B10DE7B">
        <w:tblPrEx>
          <w:tblCellMar>
            <w:top w:w="0" w:type="dxa"/>
            <w:left w:w="10" w:type="dxa"/>
            <w:bottom w:w="0" w:type="dxa"/>
            <w:right w:w="10" w:type="dxa"/>
          </w:tblCellMar>
        </w:tblPrEx>
        <w:trPr>
          <w:trHeight w:val="594" w:hRule="exact"/>
        </w:trPr>
        <w:tc>
          <w:tcPr>
            <w:tcW w:w="1661" w:type="dxa"/>
            <w:gridSpan w:val="2"/>
            <w:vMerge w:val="continue"/>
            <w:tcBorders>
              <w:left w:val="single" w:color="auto" w:sz="4" w:space="0"/>
              <w:bottom w:val="single" w:color="auto" w:sz="4" w:space="0"/>
            </w:tcBorders>
            <w:shd w:val="clear" w:color="auto" w:fill="auto"/>
            <w:noWrap w:val="0"/>
            <w:vAlign w:val="center"/>
          </w:tcPr>
          <w:p w14:paraId="340ACD0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6866"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06CA7E66">
            <w:pPr>
              <w:pStyle w:val="7"/>
              <w:keepNext w:val="0"/>
              <w:keepLines w:val="0"/>
              <w:pageBreakBefore w:val="0"/>
              <w:widowControl w:val="0"/>
              <w:kinsoku/>
              <w:wordWrap/>
              <w:overflowPunct/>
              <w:topLinePunct w:val="0"/>
              <w:autoSpaceDE/>
              <w:autoSpaceDN/>
              <w:bidi w:val="0"/>
              <w:adjustRightInd/>
              <w:snapToGrid/>
              <w:spacing w:line="560" w:lineRule="exact"/>
              <w:ind w:firstLine="0"/>
              <w:textAlignment w:val="auto"/>
            </w:pPr>
            <w:r>
              <w:t>人民币元（大写）：</w:t>
            </w:r>
          </w:p>
        </w:tc>
      </w:tr>
      <w:bookmarkEnd w:id="0"/>
    </w:tbl>
    <w:p w14:paraId="51A06BBB">
      <w:pPr>
        <w:pStyle w:val="5"/>
        <w:keepNext w:val="0"/>
        <w:keepLines w:val="0"/>
        <w:pageBreakBefore w:val="0"/>
        <w:widowControl w:val="0"/>
        <w:tabs>
          <w:tab w:val="left" w:pos="791"/>
        </w:tabs>
        <w:kinsoku/>
        <w:wordWrap/>
        <w:overflowPunct/>
        <w:topLinePunct w:val="0"/>
        <w:autoSpaceDE/>
        <w:autoSpaceDN/>
        <w:bidi w:val="0"/>
        <w:adjustRightInd/>
        <w:snapToGrid/>
        <w:spacing w:after="100" w:line="560" w:lineRule="exact"/>
        <w:ind w:firstLine="456" w:firstLineChars="142"/>
        <w:jc w:val="both"/>
        <w:textAlignment w:val="auto"/>
        <w:rPr>
          <w:rFonts w:hint="eastAsia" w:ascii="仿宋" w:hAnsi="仿宋" w:eastAsia="仿宋" w:cs="宋体"/>
          <w:b/>
          <w:bCs/>
          <w:sz w:val="32"/>
          <w:szCs w:val="32"/>
        </w:rPr>
      </w:pPr>
    </w:p>
    <w:p w14:paraId="35A66565">
      <w:pPr>
        <w:pStyle w:val="5"/>
        <w:keepNext w:val="0"/>
        <w:keepLines w:val="0"/>
        <w:pageBreakBefore w:val="0"/>
        <w:widowControl w:val="0"/>
        <w:tabs>
          <w:tab w:val="left" w:pos="791"/>
        </w:tabs>
        <w:kinsoku/>
        <w:wordWrap/>
        <w:overflowPunct/>
        <w:topLinePunct w:val="0"/>
        <w:autoSpaceDE/>
        <w:autoSpaceDN/>
        <w:bidi w:val="0"/>
        <w:adjustRightInd/>
        <w:snapToGrid/>
        <w:spacing w:after="100" w:line="560" w:lineRule="exact"/>
        <w:ind w:firstLine="456" w:firstLineChars="142"/>
        <w:jc w:val="both"/>
        <w:textAlignment w:val="auto"/>
        <w:rPr>
          <w:rFonts w:ascii="仿宋" w:hAnsi="仿宋" w:eastAsia="仿宋" w:cs="Times New Roman"/>
          <w:kern w:val="2"/>
          <w:sz w:val="32"/>
          <w:szCs w:val="32"/>
          <w:lang w:bidi="ar-SA"/>
        </w:rPr>
      </w:pPr>
      <w:r>
        <w:rPr>
          <w:rFonts w:hint="eastAsia" w:ascii="仿宋" w:hAnsi="仿宋" w:eastAsia="仿宋" w:cs="宋体"/>
          <w:b/>
          <w:bCs/>
          <w:sz w:val="32"/>
          <w:szCs w:val="32"/>
        </w:rPr>
        <w:t>二、履行合同的时间、地点及方式：</w:t>
      </w:r>
    </w:p>
    <w:p w14:paraId="0C599E6B">
      <w:pPr>
        <w:pStyle w:val="5"/>
        <w:keepNext w:val="0"/>
        <w:keepLines w:val="0"/>
        <w:pageBreakBefore w:val="0"/>
        <w:widowControl w:val="0"/>
        <w:kinsoku/>
        <w:wordWrap/>
        <w:overflowPunct/>
        <w:topLinePunct w:val="0"/>
        <w:autoSpaceDE/>
        <w:autoSpaceDN/>
        <w:bidi w:val="0"/>
        <w:adjustRightInd/>
        <w:snapToGrid/>
        <w:spacing w:after="100" w:line="560" w:lineRule="exact"/>
        <w:jc w:val="both"/>
        <w:textAlignment w:val="auto"/>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（一）</w:t>
      </w:r>
      <w:r>
        <w:rPr>
          <w:rFonts w:ascii="仿宋" w:hAnsi="仿宋" w:eastAsia="仿宋" w:cs="Times New Roman"/>
          <w:kern w:val="2"/>
          <w:sz w:val="32"/>
          <w:szCs w:val="32"/>
          <w:lang w:bidi="ar-SA"/>
        </w:rPr>
        <w:t>交货</w:t>
      </w:r>
      <w:r>
        <w:rPr>
          <w:rFonts w:hint="eastAsia" w:ascii="仿宋" w:hAnsi="仿宋" w:eastAsia="仿宋" w:cs="Times New Roman"/>
          <w:kern w:val="2"/>
          <w:sz w:val="32"/>
          <w:szCs w:val="32"/>
          <w:lang w:bidi="ar-SA"/>
        </w:rPr>
        <w:t>时间</w:t>
      </w:r>
      <w:r>
        <w:rPr>
          <w:rFonts w:ascii="仿宋" w:hAnsi="仿宋" w:eastAsia="仿宋" w:cs="Times New Roman"/>
          <w:kern w:val="2"/>
          <w:sz w:val="32"/>
          <w:szCs w:val="32"/>
          <w:lang w:bidi="ar-SA"/>
        </w:rPr>
        <w:t>：</w:t>
      </w:r>
      <w:r>
        <w:rPr>
          <w:rFonts w:hint="eastAsia" w:ascii="仿宋" w:hAnsi="仿宋" w:eastAsia="仿宋" w:cs="Times New Roman"/>
          <w:kern w:val="2"/>
          <w:sz w:val="32"/>
          <w:szCs w:val="32"/>
          <w:lang w:bidi="ar-SA"/>
        </w:rPr>
        <w:t>合同签订后以采购人实际情况供货</w:t>
      </w:r>
      <w:r>
        <w:rPr>
          <w:rFonts w:ascii="仿宋" w:hAnsi="仿宋" w:eastAsia="仿宋" w:cs="Times New Roman"/>
          <w:kern w:val="2"/>
          <w:sz w:val="32"/>
          <w:szCs w:val="32"/>
          <w:lang w:bidi="ar-SA"/>
        </w:rPr>
        <w:t>。</w:t>
      </w:r>
    </w:p>
    <w:p w14:paraId="6A5FCCA8">
      <w:pPr>
        <w:pStyle w:val="5"/>
        <w:keepNext w:val="0"/>
        <w:keepLines w:val="0"/>
        <w:pageBreakBefore w:val="0"/>
        <w:widowControl w:val="0"/>
        <w:kinsoku/>
        <w:wordWrap/>
        <w:overflowPunct/>
        <w:topLinePunct w:val="0"/>
        <w:autoSpaceDE/>
        <w:autoSpaceDN/>
        <w:bidi w:val="0"/>
        <w:adjustRightInd/>
        <w:snapToGrid/>
        <w:spacing w:after="100" w:line="560" w:lineRule="exact"/>
        <w:jc w:val="both"/>
        <w:textAlignment w:val="auto"/>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（二）</w:t>
      </w:r>
      <w:r>
        <w:rPr>
          <w:rFonts w:ascii="仿宋" w:hAnsi="仿宋" w:eastAsia="仿宋" w:cs="Times New Roman"/>
          <w:kern w:val="2"/>
          <w:sz w:val="32"/>
          <w:szCs w:val="32"/>
          <w:lang w:bidi="ar-SA"/>
        </w:rPr>
        <w:t>交货地点：</w:t>
      </w:r>
      <w:r>
        <w:rPr>
          <w:rFonts w:hint="eastAsia" w:ascii="仿宋" w:hAnsi="仿宋" w:eastAsia="仿宋" w:cs="Times New Roman"/>
          <w:kern w:val="2"/>
          <w:sz w:val="32"/>
          <w:szCs w:val="32"/>
          <w:lang w:bidi="ar-SA"/>
        </w:rPr>
        <w:t>甲方</w:t>
      </w:r>
      <w:r>
        <w:rPr>
          <w:rFonts w:ascii="仿宋" w:hAnsi="仿宋" w:eastAsia="仿宋" w:cs="Times New Roman"/>
          <w:kern w:val="2"/>
          <w:sz w:val="32"/>
          <w:szCs w:val="32"/>
          <w:lang w:bidi="ar-SA"/>
        </w:rPr>
        <w:t>指定地点。</w:t>
      </w:r>
    </w:p>
    <w:p w14:paraId="4B501B3B">
      <w:pPr>
        <w:pStyle w:val="5"/>
        <w:keepNext w:val="0"/>
        <w:keepLines w:val="0"/>
        <w:pageBreakBefore w:val="0"/>
        <w:widowControl w:val="0"/>
        <w:kinsoku/>
        <w:wordWrap/>
        <w:overflowPunct/>
        <w:topLinePunct w:val="0"/>
        <w:autoSpaceDE/>
        <w:autoSpaceDN/>
        <w:bidi w:val="0"/>
        <w:adjustRightInd/>
        <w:snapToGrid/>
        <w:spacing w:after="100" w:line="560" w:lineRule="exact"/>
        <w:ind w:firstLine="456" w:firstLineChars="142"/>
        <w:jc w:val="both"/>
        <w:textAlignment w:val="auto"/>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三、合同价款</w:t>
      </w:r>
    </w:p>
    <w:p w14:paraId="40851807">
      <w:pPr>
        <w:pStyle w:val="5"/>
        <w:keepNext w:val="0"/>
        <w:keepLines w:val="0"/>
        <w:pageBreakBefore w:val="0"/>
        <w:widowControl w:val="0"/>
        <w:kinsoku/>
        <w:wordWrap/>
        <w:overflowPunct/>
        <w:topLinePunct w:val="0"/>
        <w:autoSpaceDE/>
        <w:autoSpaceDN/>
        <w:bidi w:val="0"/>
        <w:adjustRightInd/>
        <w:snapToGrid/>
        <w:spacing w:after="100" w:line="560" w:lineRule="exact"/>
        <w:jc w:val="both"/>
        <w:textAlignment w:val="auto"/>
        <w:rPr>
          <w:rFonts w:hint="eastAsia" w:ascii="仿宋" w:hAnsi="仿宋" w:eastAsia="仿宋" w:cs="Times New Roman"/>
          <w:kern w:val="2"/>
          <w:sz w:val="32"/>
          <w:szCs w:val="32"/>
          <w:lang w:bidi="ar-SA"/>
        </w:rPr>
      </w:pPr>
      <w:r>
        <w:rPr>
          <w:rFonts w:ascii="仿宋" w:hAnsi="仿宋" w:eastAsia="仿宋" w:cs="Times New Roman"/>
          <w:kern w:val="2"/>
          <w:sz w:val="32"/>
          <w:szCs w:val="32"/>
          <w:lang w:bidi="ar-SA"/>
        </w:rPr>
        <w:t>（一）合同总价款为：人民币（大写）：</w:t>
      </w:r>
    </w:p>
    <w:p w14:paraId="3B59CF13">
      <w:pPr>
        <w:pStyle w:val="5"/>
        <w:keepNext w:val="0"/>
        <w:keepLines w:val="0"/>
        <w:pageBreakBefore w:val="0"/>
        <w:widowControl w:val="0"/>
        <w:kinsoku/>
        <w:wordWrap/>
        <w:overflowPunct/>
        <w:topLinePunct w:val="0"/>
        <w:autoSpaceDE/>
        <w:autoSpaceDN/>
        <w:bidi w:val="0"/>
        <w:adjustRightInd/>
        <w:snapToGrid/>
        <w:spacing w:after="100" w:line="560" w:lineRule="exact"/>
        <w:jc w:val="both"/>
        <w:textAlignment w:val="auto"/>
        <w:rPr>
          <w:rFonts w:hint="eastAsia" w:ascii="仿宋" w:hAnsi="仿宋" w:eastAsia="仿宋" w:cs="Times New Roman"/>
          <w:kern w:val="2"/>
          <w:sz w:val="32"/>
          <w:szCs w:val="32"/>
          <w:lang w:bidi="ar-SA"/>
        </w:rPr>
      </w:pPr>
      <w:r>
        <w:rPr>
          <w:rFonts w:ascii="仿宋" w:hAnsi="仿宋" w:eastAsia="仿宋" w:cs="Times New Roman"/>
          <w:kern w:val="2"/>
          <w:sz w:val="32"/>
          <w:szCs w:val="32"/>
          <w:lang w:bidi="ar-SA"/>
        </w:rPr>
        <w:t>（二）合同总价</w:t>
      </w:r>
      <w:r>
        <w:rPr>
          <w:rFonts w:hint="eastAsia" w:ascii="仿宋" w:hAnsi="仿宋" w:eastAsia="仿宋" w:cs="Times New Roman"/>
          <w:kern w:val="2"/>
          <w:sz w:val="32"/>
          <w:szCs w:val="32"/>
          <w:lang w:bidi="ar-SA"/>
        </w:rPr>
        <w:t>：即成交供应商的响应具体内容及其成交总金额（包含运输费、装卸费、保险费、安装调试费、检验费及培训费等一切费用）。其金额不受市场和工作量变化的影响。</w:t>
      </w:r>
    </w:p>
    <w:p w14:paraId="6D5CA211">
      <w:pPr>
        <w:pStyle w:val="5"/>
        <w:keepNext w:val="0"/>
        <w:keepLines w:val="0"/>
        <w:pageBreakBefore w:val="0"/>
        <w:widowControl w:val="0"/>
        <w:kinsoku/>
        <w:wordWrap/>
        <w:overflowPunct/>
        <w:topLinePunct w:val="0"/>
        <w:autoSpaceDE/>
        <w:autoSpaceDN/>
        <w:bidi w:val="0"/>
        <w:adjustRightInd/>
        <w:snapToGrid/>
        <w:spacing w:after="100" w:line="560" w:lineRule="exact"/>
        <w:ind w:firstLine="643" w:firstLineChars="200"/>
        <w:jc w:val="both"/>
        <w:textAlignment w:val="auto"/>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四、款项结算</w:t>
      </w:r>
    </w:p>
    <w:p w14:paraId="45A49394">
      <w:pPr>
        <w:pStyle w:val="5"/>
        <w:keepNext w:val="0"/>
        <w:keepLines w:val="0"/>
        <w:pageBreakBefore w:val="0"/>
        <w:widowControl w:val="0"/>
        <w:kinsoku/>
        <w:wordWrap/>
        <w:overflowPunct/>
        <w:topLinePunct w:val="0"/>
        <w:autoSpaceDE/>
        <w:autoSpaceDN/>
        <w:bidi w:val="0"/>
        <w:adjustRightInd/>
        <w:snapToGrid/>
        <w:spacing w:after="100" w:line="560" w:lineRule="exact"/>
        <w:ind w:firstLine="500"/>
        <w:jc w:val="both"/>
        <w:textAlignment w:val="auto"/>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（一）</w:t>
      </w:r>
      <w:r>
        <w:rPr>
          <w:rFonts w:ascii="仿宋" w:hAnsi="仿宋" w:eastAsia="仿宋" w:cs="Times New Roman"/>
          <w:kern w:val="2"/>
          <w:sz w:val="32"/>
          <w:szCs w:val="32"/>
          <w:lang w:bidi="ar-SA"/>
        </w:rPr>
        <w:t>合同总价即中标价，为一次性报价，不受市场价变化或实际工作量变化的影响。</w:t>
      </w:r>
    </w:p>
    <w:p w14:paraId="19250290">
      <w:pPr>
        <w:pStyle w:val="5"/>
        <w:keepNext w:val="0"/>
        <w:keepLines w:val="0"/>
        <w:pageBreakBefore w:val="0"/>
        <w:widowControl w:val="0"/>
        <w:kinsoku/>
        <w:wordWrap/>
        <w:overflowPunct/>
        <w:topLinePunct w:val="0"/>
        <w:autoSpaceDE/>
        <w:autoSpaceDN/>
        <w:bidi w:val="0"/>
        <w:adjustRightInd/>
        <w:snapToGrid/>
        <w:spacing w:after="100" w:line="560" w:lineRule="exact"/>
        <w:ind w:firstLine="500"/>
        <w:jc w:val="both"/>
        <w:textAlignment w:val="auto"/>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（二）</w:t>
      </w:r>
      <w:r>
        <w:rPr>
          <w:rFonts w:ascii="仿宋" w:hAnsi="仿宋" w:eastAsia="仿宋" w:cs="Times New Roman"/>
          <w:kern w:val="2"/>
          <w:sz w:val="32"/>
          <w:szCs w:val="32"/>
          <w:lang w:bidi="ar-SA"/>
        </w:rPr>
        <w:t>付款方式</w:t>
      </w:r>
    </w:p>
    <w:p w14:paraId="054D1FDB">
      <w:pPr>
        <w:pStyle w:val="5"/>
        <w:keepNext w:val="0"/>
        <w:keepLines w:val="0"/>
        <w:pageBreakBefore w:val="0"/>
        <w:widowControl w:val="0"/>
        <w:kinsoku/>
        <w:wordWrap/>
        <w:overflowPunct/>
        <w:topLinePunct w:val="0"/>
        <w:autoSpaceDE/>
        <w:autoSpaceDN/>
        <w:bidi w:val="0"/>
        <w:adjustRightInd/>
        <w:snapToGrid/>
        <w:spacing w:after="100" w:line="560" w:lineRule="exact"/>
        <w:ind w:firstLine="5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1、支付方式：合同签订后15个工作日内，支付合同总价款的40%；</w:t>
      </w:r>
      <w:r>
        <w:rPr>
          <w:rFonts w:ascii="仿宋_GB2312" w:hAnsi="仿宋_GB2312" w:eastAsia="仿宋_GB2312" w:cs="仿宋_GB2312"/>
          <w:sz w:val="32"/>
          <w:szCs w:val="32"/>
        </w:rPr>
        <w:t>货物交付、安装调试、培训完成并验收合格后15个工作日内支付合同价款60%。</w:t>
      </w:r>
    </w:p>
    <w:p w14:paraId="7D4DE4B1">
      <w:pPr>
        <w:pStyle w:val="5"/>
        <w:keepNext w:val="0"/>
        <w:keepLines w:val="0"/>
        <w:pageBreakBefore w:val="0"/>
        <w:widowControl w:val="0"/>
        <w:kinsoku/>
        <w:wordWrap/>
        <w:overflowPunct/>
        <w:topLinePunct w:val="0"/>
        <w:autoSpaceDE/>
        <w:autoSpaceDN/>
        <w:bidi w:val="0"/>
        <w:adjustRightInd/>
        <w:snapToGrid/>
        <w:spacing w:after="100" w:line="560" w:lineRule="exact"/>
        <w:ind w:firstLine="5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2、银行转账。由采购人负责结算，付款前供应商必须开具与合同金额相应的发票</w:t>
      </w:r>
      <w:r>
        <w:rPr>
          <w:rFonts w:hint="eastAsia" w:ascii="仿宋" w:hAnsi="仿宋" w:eastAsia="仿宋" w:cs="Times New Roman"/>
          <w:kern w:val="2"/>
          <w:sz w:val="32"/>
          <w:szCs w:val="32"/>
          <w:lang w:eastAsia="zh-CN" w:bidi="ar-SA"/>
        </w:rPr>
        <w:t>及货物清单</w:t>
      </w:r>
      <w:r>
        <w:rPr>
          <w:rFonts w:hint="eastAsia" w:ascii="仿宋" w:hAnsi="仿宋" w:eastAsia="仿宋" w:cs="Times New Roman"/>
          <w:kern w:val="2"/>
          <w:sz w:val="32"/>
          <w:szCs w:val="32"/>
          <w:lang w:bidi="ar-SA"/>
        </w:rPr>
        <w:t>给采购人。</w:t>
      </w:r>
    </w:p>
    <w:p w14:paraId="610D67BA">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3" w:firstLineChars="200"/>
        <w:jc w:val="both"/>
        <w:textAlignment w:val="auto"/>
        <w:rPr>
          <w:rFonts w:hint="eastAsia" w:ascii="仿宋" w:hAnsi="仿宋" w:eastAsia="仿宋" w:cs="Times New Roman"/>
          <w:b/>
          <w:kern w:val="2"/>
          <w:sz w:val="32"/>
          <w:szCs w:val="32"/>
          <w:lang w:eastAsia="zh-CN" w:bidi="ar-SA"/>
        </w:rPr>
      </w:pPr>
      <w:r>
        <w:rPr>
          <w:rFonts w:hint="eastAsia" w:ascii="仿宋" w:hAnsi="仿宋" w:eastAsia="仿宋" w:cs="Times New Roman"/>
          <w:b/>
          <w:kern w:val="2"/>
          <w:sz w:val="32"/>
          <w:szCs w:val="32"/>
          <w:lang w:eastAsia="zh-CN" w:bidi="ar-SA"/>
        </w:rPr>
        <w:t>五、安装调试</w:t>
      </w:r>
    </w:p>
    <w:p w14:paraId="7ACC6243">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（一）</w:t>
      </w:r>
      <w:r>
        <w:rPr>
          <w:rFonts w:hint="eastAsia" w:ascii="仿宋" w:hAnsi="仿宋" w:eastAsia="仿宋" w:cs="Times New Roman"/>
          <w:kern w:val="2"/>
          <w:sz w:val="32"/>
          <w:szCs w:val="32"/>
          <w:lang w:bidi="ar-SA"/>
        </w:rPr>
        <w:t>安装调试前的准备要求</w:t>
      </w:r>
    </w:p>
    <w:p w14:paraId="5B7A798A">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val="en-US" w:eastAsia="zh-CN" w:bidi="ar-SA"/>
        </w:rPr>
        <w:t>1、</w:t>
      </w:r>
      <w:r>
        <w:rPr>
          <w:rFonts w:hint="eastAsia" w:ascii="仿宋" w:hAnsi="仿宋" w:eastAsia="仿宋" w:cs="Times New Roman"/>
          <w:kern w:val="2"/>
          <w:sz w:val="32"/>
          <w:szCs w:val="32"/>
          <w:lang w:bidi="ar-SA"/>
        </w:rPr>
        <w:t>供应商需在安装前5个工作日内，派专业技术团队赴采购方指定场地进行现场勘查，明确场地布局、网络环境、配套设施等信息，形成《现场勘查报告》并经采购方签字确认。</w:t>
      </w:r>
    </w:p>
    <w:p w14:paraId="5C6E93F6">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val="en-US" w:eastAsia="zh-CN" w:bidi="ar-SA"/>
        </w:rPr>
        <w:t>2、</w:t>
      </w:r>
      <w:r>
        <w:rPr>
          <w:rFonts w:hint="eastAsia" w:ascii="仿宋" w:hAnsi="仿宋" w:eastAsia="仿宋" w:cs="Times New Roman"/>
          <w:kern w:val="2"/>
          <w:sz w:val="32"/>
          <w:szCs w:val="32"/>
          <w:lang w:bidi="ar-SA"/>
        </w:rPr>
        <w:t>基于勘查结果，供应商需制定详细的《安装调试实施方案》，明确安装步骤、时间节点、人员配置、应急预案，方案需经采购方审核通过后方可实施。</w:t>
      </w:r>
    </w:p>
    <w:p w14:paraId="2DA62876">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val="en-US" w:eastAsia="zh-CN" w:bidi="ar-SA"/>
        </w:rPr>
        <w:t>3</w:t>
      </w:r>
      <w:r>
        <w:rPr>
          <w:rFonts w:hint="eastAsia" w:ascii="仿宋" w:hAnsi="仿宋" w:eastAsia="仿宋" w:cs="Times New Roman"/>
          <w:kern w:val="2"/>
          <w:sz w:val="32"/>
          <w:szCs w:val="32"/>
          <w:lang w:bidi="ar-SA"/>
        </w:rPr>
        <w:t>、包装必须适应设备和交通运输要求，以及国家有关标准或企业标准或合同要求。成交供应商应承担由于包装、防护措施不妥引起的所有损失的责任和费用。</w:t>
      </w:r>
    </w:p>
    <w:p w14:paraId="4216509A">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val="en-US" w:eastAsia="zh-CN" w:bidi="ar-SA"/>
        </w:rPr>
        <w:t>4</w:t>
      </w:r>
      <w:r>
        <w:rPr>
          <w:rFonts w:hint="eastAsia" w:ascii="仿宋" w:hAnsi="仿宋" w:eastAsia="仿宋" w:cs="Times New Roman"/>
          <w:kern w:val="2"/>
          <w:sz w:val="32"/>
          <w:szCs w:val="32"/>
          <w:lang w:bidi="ar-SA"/>
        </w:rPr>
        <w:t>、成交供应商可根据完工期、运输条件自行选择运输方式（另有规定的除外），承担一切运输费用。</w:t>
      </w:r>
    </w:p>
    <w:p w14:paraId="072DCCB6">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（二）</w:t>
      </w:r>
      <w:r>
        <w:rPr>
          <w:rFonts w:hint="eastAsia" w:ascii="仿宋" w:hAnsi="仿宋" w:eastAsia="仿宋" w:cs="Times New Roman"/>
          <w:kern w:val="2"/>
          <w:sz w:val="32"/>
          <w:szCs w:val="32"/>
          <w:lang w:bidi="ar-SA"/>
        </w:rPr>
        <w:t>技术保障</w:t>
      </w:r>
    </w:p>
    <w:p w14:paraId="4BE5028C">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成交供应商应随同设备单提供相应的中文技术文件（包括产品合格证、装箱清单、操作手册、使用说明、检测报告、维护手册、服务指南等资料），现场安装、调试、试运行技术保障服务。</w:t>
      </w:r>
    </w:p>
    <w:p w14:paraId="4C02F1E6">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（三）</w:t>
      </w:r>
      <w:r>
        <w:rPr>
          <w:rFonts w:hint="eastAsia" w:ascii="仿宋" w:hAnsi="仿宋" w:eastAsia="仿宋" w:cs="Times New Roman"/>
          <w:kern w:val="2"/>
          <w:sz w:val="32"/>
          <w:szCs w:val="32"/>
          <w:lang w:bidi="ar-SA"/>
        </w:rPr>
        <w:t>安装实施要求</w:t>
      </w:r>
    </w:p>
    <w:p w14:paraId="7730712A">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val="en-US" w:eastAsia="zh-CN" w:bidi="ar-SA"/>
        </w:rPr>
        <w:t>1、</w:t>
      </w:r>
      <w:r>
        <w:rPr>
          <w:rFonts w:hint="eastAsia" w:ascii="仿宋" w:hAnsi="仿宋" w:eastAsia="仿宋" w:cs="Times New Roman"/>
          <w:kern w:val="2"/>
          <w:sz w:val="32"/>
          <w:szCs w:val="32"/>
          <w:lang w:bidi="ar-SA"/>
        </w:rPr>
        <w:t>需按《安装调试实施方案》及设备技术手册进行标准化安装，协助采购方完成网络环境配置。</w:t>
      </w:r>
    </w:p>
    <w:p w14:paraId="797E044C">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val="en-US" w:eastAsia="zh-CN" w:bidi="ar-SA"/>
        </w:rPr>
        <w:t>2、</w:t>
      </w:r>
      <w:r>
        <w:rPr>
          <w:rFonts w:hint="eastAsia" w:ascii="仿宋" w:hAnsi="仿宋" w:eastAsia="仿宋" w:cs="Times New Roman"/>
          <w:kern w:val="2"/>
          <w:sz w:val="32"/>
          <w:szCs w:val="32"/>
          <w:lang w:bidi="ar-SA"/>
        </w:rPr>
        <w:t>安装过程中需做好设备保护，对已安装的设备覆盖防尘膜，避免灰尘、污渍污染；若需临时挪动采购方原有设施，需提前沟通并在安装完成后恢复原位。</w:t>
      </w:r>
    </w:p>
    <w:p w14:paraId="212BFCB5">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3、系统调试要求</w:t>
      </w:r>
    </w:p>
    <w:p w14:paraId="059BEBD2">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（1）需逐项验证视频会议系统的核心功能，确保符合采购需求约定；</w:t>
      </w:r>
    </w:p>
    <w:p w14:paraId="7284592A">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（2）供应商需进行72小时连续稳定性测试，模拟正常会议场景（如主会场与所有分会场同时在线，持续传输音视频信号），期间系统需无断连、死机、功能失效等问题；</w:t>
      </w:r>
    </w:p>
    <w:p w14:paraId="1230FC82">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（3）进行压力测试：模拟最大参会人数/最大分会场数量的高负载场景，测试系统响应速度与稳定性，确保高负载下仍能正常运行，无明显卡顿。</w:t>
      </w:r>
    </w:p>
    <w:p w14:paraId="4E4A289A">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（4）配置系统登录权限管理（如区分管理员、参会人员账号，设置不同操作权限），支持密码复杂度要求（如含大小写字母、数字、特殊符号）；</w:t>
      </w:r>
    </w:p>
    <w:p w14:paraId="6024BFCC">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（5）开启防火墙和数据加密功能，防止会议信息泄露，拦截非法访问。</w:t>
      </w:r>
    </w:p>
    <w:p w14:paraId="3CFC74B2">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3" w:firstLineChars="200"/>
        <w:jc w:val="both"/>
        <w:textAlignment w:val="auto"/>
        <w:rPr>
          <w:rFonts w:hint="eastAsia" w:ascii="仿宋" w:hAnsi="仿宋" w:eastAsia="仿宋" w:cs="Times New Roman"/>
          <w:b/>
          <w:kern w:val="2"/>
          <w:sz w:val="32"/>
          <w:szCs w:val="32"/>
          <w:lang w:eastAsia="zh-CN" w:bidi="ar-SA"/>
        </w:rPr>
      </w:pPr>
      <w:r>
        <w:rPr>
          <w:rFonts w:hint="eastAsia" w:ascii="仿宋" w:hAnsi="仿宋" w:eastAsia="仿宋" w:cs="Times New Roman"/>
          <w:b/>
          <w:kern w:val="2"/>
          <w:sz w:val="32"/>
          <w:szCs w:val="32"/>
          <w:lang w:eastAsia="zh-CN" w:bidi="ar-SA"/>
        </w:rPr>
        <w:t>六、质量保证</w:t>
      </w:r>
    </w:p>
    <w:p w14:paraId="23127D08">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（一）</w:t>
      </w:r>
      <w:r>
        <w:rPr>
          <w:rFonts w:hint="eastAsia" w:ascii="仿宋" w:hAnsi="仿宋" w:eastAsia="仿宋" w:cs="Times New Roman"/>
          <w:kern w:val="2"/>
          <w:sz w:val="32"/>
          <w:szCs w:val="32"/>
          <w:lang w:bidi="ar-SA"/>
        </w:rPr>
        <w:t xml:space="preserve">质保期：3年（自安装、验收合格并正式启用后开始计算）。 </w:t>
      </w:r>
    </w:p>
    <w:p w14:paraId="7FA23BF7">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（二）</w:t>
      </w:r>
      <w:r>
        <w:rPr>
          <w:rFonts w:hint="eastAsia" w:ascii="仿宋" w:hAnsi="仿宋" w:eastAsia="仿宋" w:cs="Times New Roman"/>
          <w:kern w:val="2"/>
          <w:sz w:val="32"/>
          <w:szCs w:val="32"/>
          <w:lang w:bidi="ar-SA"/>
        </w:rPr>
        <w:t xml:space="preserve">卖方按合同期限免费提供技术及售后服务。 </w:t>
      </w:r>
    </w:p>
    <w:p w14:paraId="1B3BB0B2">
      <w:pPr>
        <w:tabs>
          <w:tab w:val="left" w:pos="0"/>
          <w:tab w:val="left" w:pos="1575"/>
        </w:tabs>
        <w:spacing w:line="360" w:lineRule="auto"/>
        <w:ind w:firstLine="627" w:firstLineChars="196"/>
        <w:rPr>
          <w:rFonts w:hint="eastAsia" w:ascii="仿宋" w:hAnsi="仿宋" w:eastAsia="仿宋"/>
          <w:bCs/>
          <w:sz w:val="28"/>
          <w:szCs w:val="28"/>
        </w:rPr>
      </w:pPr>
      <w:r>
        <w:rPr>
          <w:rFonts w:hint="eastAsia" w:ascii="仿宋" w:hAnsi="仿宋" w:eastAsia="仿宋" w:cs="Times New Roman"/>
          <w:kern w:val="2"/>
          <w:sz w:val="32"/>
          <w:szCs w:val="32"/>
          <w:lang w:eastAsia="zh-CN" w:bidi="ar-SA"/>
        </w:rPr>
        <w:t>（三）</w:t>
      </w:r>
      <w:r>
        <w:rPr>
          <w:rFonts w:hint="eastAsia" w:ascii="仿宋" w:hAnsi="仿宋" w:eastAsia="仿宋" w:cs="Times New Roman"/>
          <w:kern w:val="2"/>
          <w:sz w:val="32"/>
          <w:szCs w:val="32"/>
          <w:lang w:val="zh-CN" w:eastAsia="zh-CN" w:bidi="ar-SA"/>
        </w:rPr>
        <w:t>成交供应商应当保证所供设备的来源渠道正常，产品是全新的、未使用过的，且完全符合合同规定的质量、规格、技术指标等要求，并在质保期内、外应对由于产品设计、工艺或材料的缺陷而产生的质量问题负责。</w:t>
      </w:r>
    </w:p>
    <w:p w14:paraId="5CCCFD15">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（四）</w:t>
      </w:r>
      <w:r>
        <w:rPr>
          <w:rFonts w:hint="eastAsia" w:ascii="仿宋" w:hAnsi="仿宋" w:eastAsia="仿宋" w:cs="Times New Roman"/>
          <w:kern w:val="2"/>
          <w:sz w:val="32"/>
          <w:szCs w:val="32"/>
          <w:lang w:bidi="ar-SA"/>
        </w:rPr>
        <w:t>因货物质量问题，</w:t>
      </w:r>
      <w:r>
        <w:rPr>
          <w:rFonts w:hint="eastAsia" w:ascii="仿宋" w:hAnsi="仿宋" w:eastAsia="仿宋" w:cs="Times New Roman"/>
          <w:kern w:val="2"/>
          <w:sz w:val="32"/>
          <w:szCs w:val="32"/>
          <w:lang w:eastAsia="zh-CN" w:bidi="ar-SA"/>
        </w:rPr>
        <w:t>成交供应商</w:t>
      </w:r>
      <w:r>
        <w:rPr>
          <w:rFonts w:hint="eastAsia" w:ascii="仿宋" w:hAnsi="仿宋" w:eastAsia="仿宋" w:cs="Times New Roman"/>
          <w:kern w:val="2"/>
          <w:sz w:val="32"/>
          <w:szCs w:val="32"/>
          <w:lang w:bidi="ar-SA"/>
        </w:rPr>
        <w:t xml:space="preserve">在接到买方通知后在24小时内按买方要求对质量问题货物进行无条件更换。提供全国统一客户服务呼叫系统，全天候24小时受理用户的服务需求信息，并提供7×24小时的服务响应及上门服务。 </w:t>
      </w:r>
    </w:p>
    <w:p w14:paraId="697182D1">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（五）</w:t>
      </w:r>
      <w:r>
        <w:rPr>
          <w:rFonts w:hint="eastAsia" w:ascii="仿宋" w:hAnsi="仿宋" w:eastAsia="仿宋" w:cs="Times New Roman"/>
          <w:kern w:val="2"/>
          <w:sz w:val="32"/>
          <w:szCs w:val="32"/>
          <w:lang w:bidi="ar-SA"/>
        </w:rPr>
        <w:t xml:space="preserve">如果卖方在收到通知后没有弥补缺陷，买方可采取必要的补救措施，但其风险和费用将由卖方承担，买方根据合同规定对卖方行使的其它权力不受影响。若卖方拒不执行，买方可单方面解除合同。 </w:t>
      </w:r>
    </w:p>
    <w:p w14:paraId="2EDE426A">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（六）</w:t>
      </w:r>
      <w:r>
        <w:rPr>
          <w:rFonts w:hint="eastAsia" w:ascii="仿宋" w:hAnsi="仿宋" w:eastAsia="仿宋" w:cs="Times New Roman"/>
          <w:kern w:val="2"/>
          <w:sz w:val="32"/>
          <w:szCs w:val="32"/>
          <w:lang w:bidi="ar-SA"/>
        </w:rPr>
        <w:t>在质保期内，如果发现设备的质量、规格、技术指标等存在与合同有任何一项不符，采购人应在最短时间内，以书面形式向成交供应商人提出索赔。</w:t>
      </w:r>
    </w:p>
    <w:p w14:paraId="13A5F0E4">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（七）</w:t>
      </w:r>
      <w:r>
        <w:rPr>
          <w:rFonts w:hint="eastAsia" w:ascii="仿宋" w:hAnsi="仿宋" w:eastAsia="仿宋" w:cs="Times New Roman"/>
          <w:kern w:val="2"/>
          <w:sz w:val="32"/>
          <w:szCs w:val="32"/>
          <w:lang w:bidi="ar-SA"/>
        </w:rPr>
        <w:t>在维修或其他售后服务过程中出现由于供应商不配合或不作为情况导致工作停滞，损失由供应商承担。</w:t>
      </w:r>
    </w:p>
    <w:p w14:paraId="5819D37E">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3" w:firstLineChars="200"/>
        <w:jc w:val="both"/>
        <w:textAlignment w:val="auto"/>
        <w:rPr>
          <w:sz w:val="32"/>
          <w:szCs w:val="32"/>
        </w:rPr>
      </w:pPr>
      <w:r>
        <w:rPr>
          <w:rFonts w:hint="eastAsia" w:ascii="仿宋" w:hAnsi="仿宋" w:eastAsia="仿宋" w:cs="Times New Roman"/>
          <w:b/>
          <w:kern w:val="2"/>
          <w:sz w:val="32"/>
          <w:szCs w:val="32"/>
          <w:lang w:eastAsia="zh-CN" w:bidi="ar-SA"/>
        </w:rPr>
        <w:t>七、</w:t>
      </w:r>
      <w:r>
        <w:rPr>
          <w:rFonts w:hint="eastAsia" w:ascii="仿宋" w:hAnsi="仿宋" w:eastAsia="仿宋" w:cs="Times New Roman"/>
          <w:b/>
          <w:kern w:val="2"/>
          <w:sz w:val="32"/>
          <w:szCs w:val="32"/>
          <w:lang w:bidi="ar-SA"/>
        </w:rPr>
        <w:t>履约验收方案</w:t>
      </w:r>
    </w:p>
    <w:p w14:paraId="3F6AC68F">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（一</w:t>
      </w:r>
      <w:r>
        <w:rPr>
          <w:rFonts w:hint="eastAsia" w:ascii="仿宋" w:hAnsi="仿宋" w:eastAsia="仿宋" w:cs="Times New Roman"/>
          <w:kern w:val="2"/>
          <w:sz w:val="32"/>
          <w:szCs w:val="32"/>
          <w:lang w:bidi="ar-SA"/>
        </w:rPr>
        <w:t>）验收组织方式：自行验收</w:t>
      </w:r>
    </w:p>
    <w:p w14:paraId="6E507596">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（二</w:t>
      </w:r>
      <w:r>
        <w:rPr>
          <w:rFonts w:hint="eastAsia" w:ascii="仿宋" w:hAnsi="仿宋" w:eastAsia="仿宋" w:cs="Times New Roman"/>
          <w:kern w:val="2"/>
          <w:sz w:val="32"/>
          <w:szCs w:val="32"/>
          <w:lang w:bidi="ar-SA"/>
        </w:rPr>
        <w:t>）履约验收程序：一次性验收</w:t>
      </w:r>
    </w:p>
    <w:p w14:paraId="69D80FFF">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（三）</w:t>
      </w:r>
      <w:r>
        <w:rPr>
          <w:rFonts w:hint="eastAsia" w:ascii="仿宋" w:hAnsi="仿宋" w:eastAsia="仿宋" w:cs="Times New Roman"/>
          <w:kern w:val="2"/>
          <w:sz w:val="32"/>
          <w:szCs w:val="32"/>
          <w:lang w:bidi="ar-SA"/>
        </w:rPr>
        <w:t>履约验收时间：供应商提出验收申请之日起7日内组织验收</w:t>
      </w:r>
    </w:p>
    <w:p w14:paraId="264D0F9D">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（四</w:t>
      </w:r>
      <w:r>
        <w:rPr>
          <w:rFonts w:hint="eastAsia" w:ascii="仿宋" w:hAnsi="仿宋" w:eastAsia="仿宋" w:cs="Times New Roman"/>
          <w:kern w:val="2"/>
          <w:sz w:val="32"/>
          <w:szCs w:val="32"/>
          <w:lang w:bidi="ar-SA"/>
        </w:rPr>
        <w:t>）技术履约验收内容：所供产品的数量、技术参数符合采购文件和供应商投标承诺的及采购合同约定的要求</w:t>
      </w:r>
    </w:p>
    <w:p w14:paraId="7C6B88EE">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（五</w:t>
      </w:r>
      <w:r>
        <w:rPr>
          <w:rFonts w:hint="eastAsia" w:ascii="仿宋" w:hAnsi="仿宋" w:eastAsia="仿宋" w:cs="Times New Roman"/>
          <w:kern w:val="2"/>
          <w:sz w:val="32"/>
          <w:szCs w:val="32"/>
          <w:lang w:bidi="ar-SA"/>
        </w:rPr>
        <w:t>）商务履约验收内容：符合采购文件和采购合同的要求</w:t>
      </w:r>
    </w:p>
    <w:p w14:paraId="392C18B1">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_GB2312" w:hAnsi="仿宋_GB2312" w:eastAsia="仿宋_GB2312" w:cs="仿宋_GB2312"/>
          <w:sz w:val="32"/>
          <w:szCs w:val="32"/>
          <w:lang w:eastAsia="zh-CN"/>
        </w:rPr>
        <w:t>（六）</w:t>
      </w:r>
      <w:r>
        <w:rPr>
          <w:rFonts w:hint="eastAsia" w:ascii="仿宋" w:hAnsi="仿宋" w:eastAsia="仿宋" w:cs="Times New Roman"/>
          <w:kern w:val="2"/>
          <w:sz w:val="32"/>
          <w:szCs w:val="32"/>
          <w:lang w:bidi="ar-SA"/>
        </w:rPr>
        <w:t>验收标准</w:t>
      </w:r>
    </w:p>
    <w:p w14:paraId="5EDCCF8F">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1、所有产品均已运输至指定地点，并安装调试完毕。</w:t>
      </w:r>
    </w:p>
    <w:p w14:paraId="6F2EE385">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2、所供产品的数量、技术参数符合采购文件和供应商投标承诺的及采购合同约定的要求。</w:t>
      </w:r>
    </w:p>
    <w:p w14:paraId="06E68AD1">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3、所验产品的指标、性能参数最终验收达不到采购文件要求和投标文件承诺的，或在使用中发现采购人不能容忍的缺陷等，将视为产品验收不合格，供应商应在采购人要求的时间内无条件免费更换或退货。</w:t>
      </w:r>
    </w:p>
    <w:p w14:paraId="0418ABC2">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4、若发现中标人有弄虚作假的，故意或随意夸大产品技术性能，采购方除要求退货外，有权要求成交供应商赔偿采购人相应的损失。</w:t>
      </w:r>
    </w:p>
    <w:p w14:paraId="24DCF7AE">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5、产品按采购文件、投标文件及澄清函等技术指标进行验收。产品质量、设计等各项指标均应符合验收标准及要求。</w:t>
      </w:r>
    </w:p>
    <w:p w14:paraId="12E773D6">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6、按照采购人要求出具验收资料，归档。</w:t>
      </w:r>
    </w:p>
    <w:p w14:paraId="63DBAEE3">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3" w:firstLineChars="200"/>
        <w:jc w:val="both"/>
        <w:textAlignment w:val="auto"/>
        <w:rPr>
          <w:rFonts w:hint="eastAsia"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八、知识产权归属和处理方式</w:t>
      </w:r>
    </w:p>
    <w:p w14:paraId="2FA169BF">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（一</w:t>
      </w:r>
      <w:r>
        <w:rPr>
          <w:rFonts w:hint="eastAsia" w:ascii="仿宋" w:hAnsi="仿宋" w:eastAsia="仿宋" w:cs="Times New Roman"/>
          <w:kern w:val="2"/>
          <w:sz w:val="32"/>
          <w:szCs w:val="32"/>
          <w:lang w:val="en-US" w:eastAsia="zh-CN" w:bidi="ar-SA"/>
        </w:rPr>
        <w:t>)</w:t>
      </w:r>
      <w:r>
        <w:rPr>
          <w:rFonts w:hint="eastAsia" w:ascii="仿宋" w:hAnsi="仿宋" w:eastAsia="仿宋" w:cs="Times New Roman"/>
          <w:kern w:val="2"/>
          <w:sz w:val="32"/>
          <w:szCs w:val="32"/>
          <w:lang w:bidi="ar-SA"/>
        </w:rPr>
        <w:t xml:space="preserve">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 </w:t>
      </w:r>
    </w:p>
    <w:p w14:paraId="3C1A1994">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val="en-US" w:eastAsia="zh-CN" w:bidi="ar-SA"/>
        </w:rPr>
        <w:t>(二)</w:t>
      </w:r>
      <w:r>
        <w:rPr>
          <w:rFonts w:hint="eastAsia" w:ascii="仿宋" w:hAnsi="仿宋" w:eastAsia="仿宋" w:cs="Times New Roman"/>
          <w:kern w:val="2"/>
          <w:sz w:val="32"/>
          <w:szCs w:val="32"/>
          <w:lang w:bidi="ar-SA"/>
        </w:rPr>
        <w:t xml:space="preserve">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 </w:t>
      </w:r>
    </w:p>
    <w:p w14:paraId="5273C16E">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（三）</w:t>
      </w:r>
      <w:r>
        <w:rPr>
          <w:rFonts w:hint="eastAsia" w:ascii="仿宋" w:hAnsi="仿宋" w:eastAsia="仿宋" w:cs="Times New Roman"/>
          <w:kern w:val="2"/>
          <w:sz w:val="32"/>
          <w:szCs w:val="32"/>
          <w:lang w:bidi="ar-SA"/>
        </w:rPr>
        <w:t>如采用投标人所不拥有的知识产权，则在投标报价中必须包括合法使用该知识产权的相关费用。</w:t>
      </w:r>
    </w:p>
    <w:p w14:paraId="3B6889A5">
      <w:pPr>
        <w:pStyle w:val="5"/>
        <w:keepNext w:val="0"/>
        <w:keepLines w:val="0"/>
        <w:pageBreakBefore w:val="0"/>
        <w:widowControl w:val="0"/>
        <w:kinsoku/>
        <w:wordWrap/>
        <w:overflowPunct/>
        <w:topLinePunct w:val="0"/>
        <w:autoSpaceDE/>
        <w:autoSpaceDN/>
        <w:bidi w:val="0"/>
        <w:adjustRightInd/>
        <w:snapToGrid/>
        <w:spacing w:after="100" w:line="560" w:lineRule="exact"/>
        <w:ind w:firstLine="500"/>
        <w:jc w:val="both"/>
        <w:textAlignment w:val="auto"/>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九、违约责任</w:t>
      </w:r>
    </w:p>
    <w:p w14:paraId="1CD104CD">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ascii="仿宋" w:hAnsi="仿宋" w:eastAsia="仿宋" w:cs="Times New Roman"/>
          <w:kern w:val="2"/>
          <w:sz w:val="32"/>
          <w:szCs w:val="32"/>
          <w:lang w:bidi="ar-SA"/>
        </w:rPr>
      </w:pPr>
      <w:r>
        <w:rPr>
          <w:rFonts w:ascii="仿宋" w:hAnsi="仿宋" w:eastAsia="仿宋" w:cs="Times New Roman"/>
          <w:kern w:val="2"/>
          <w:sz w:val="32"/>
          <w:szCs w:val="32"/>
          <w:lang w:bidi="ar-SA"/>
        </w:rPr>
        <w:t>依据《中华人民共和国民法典》的相关条款和本合同约定，乙方未全面履行合同义务或拒绝继续履行合同义务，造成交货期延误或给甲方带来经济损失，甲方有权单方终止合同，并向乙方索赔。甲方违约的,应赔偿乙方的直接经济损失。在履行本合同期间若发生争议，甲、乙双方应友好协商解决。若协商不成，任何一方均可向甲方所在地有管转权的人民法院提起诉讼。</w:t>
      </w:r>
    </w:p>
    <w:p w14:paraId="36B4E03E">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3" w:firstLineChars="200"/>
        <w:jc w:val="both"/>
        <w:textAlignment w:val="auto"/>
        <w:rPr>
          <w:rFonts w:ascii="仿宋" w:hAnsi="仿宋" w:eastAsia="仿宋" w:cs="Times New Roman"/>
          <w:b/>
          <w:kern w:val="2"/>
          <w:sz w:val="32"/>
          <w:szCs w:val="32"/>
          <w:lang w:bidi="ar-SA"/>
        </w:rPr>
      </w:pPr>
      <w:r>
        <w:rPr>
          <w:rFonts w:hint="eastAsia" w:ascii="仿宋" w:hAnsi="仿宋" w:eastAsia="仿宋" w:cs="Times New Roman"/>
          <w:b/>
          <w:kern w:val="2"/>
          <w:sz w:val="32"/>
          <w:szCs w:val="32"/>
          <w:lang w:eastAsia="zh-CN" w:bidi="ar-SA"/>
        </w:rPr>
        <w:t>十、</w:t>
      </w:r>
      <w:r>
        <w:rPr>
          <w:rFonts w:hint="eastAsia" w:ascii="仿宋" w:hAnsi="仿宋" w:eastAsia="仿宋" w:cs="Times New Roman"/>
          <w:b/>
          <w:kern w:val="2"/>
          <w:sz w:val="32"/>
          <w:szCs w:val="32"/>
          <w:lang w:bidi="ar-SA"/>
        </w:rPr>
        <w:t>合同生效及其他</w:t>
      </w:r>
    </w:p>
    <w:p w14:paraId="0B94F718">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（一）</w:t>
      </w:r>
      <w:r>
        <w:rPr>
          <w:rFonts w:ascii="仿宋" w:hAnsi="仿宋" w:eastAsia="仿宋" w:cs="Times New Roman"/>
          <w:kern w:val="2"/>
          <w:sz w:val="32"/>
          <w:szCs w:val="32"/>
          <w:lang w:bidi="ar-SA"/>
        </w:rPr>
        <w:t>本合同经双方签字盖章后生效。合同一式</w:t>
      </w:r>
      <w:r>
        <w:rPr>
          <w:rFonts w:hint="eastAsia" w:ascii="仿宋" w:hAnsi="仿宋" w:eastAsia="仿宋" w:cs="Times New Roman"/>
          <w:kern w:val="2"/>
          <w:sz w:val="32"/>
          <w:szCs w:val="32"/>
          <w:lang w:eastAsia="zh-CN" w:bidi="ar-SA"/>
        </w:rPr>
        <w:t>四</w:t>
      </w:r>
      <w:r>
        <w:rPr>
          <w:rFonts w:ascii="仿宋" w:hAnsi="仿宋" w:eastAsia="仿宋" w:cs="Times New Roman"/>
          <w:kern w:val="2"/>
          <w:sz w:val="32"/>
          <w:szCs w:val="32"/>
          <w:lang w:bidi="ar-SA"/>
        </w:rPr>
        <w:t>份，甲乙双方各</w:t>
      </w:r>
      <w:r>
        <w:rPr>
          <w:rFonts w:hint="eastAsia" w:ascii="仿宋" w:hAnsi="仿宋" w:eastAsia="仿宋" w:cs="Times New Roman"/>
          <w:kern w:val="2"/>
          <w:sz w:val="32"/>
          <w:szCs w:val="32"/>
          <w:lang w:bidi="ar-SA"/>
        </w:rPr>
        <w:t>一</w:t>
      </w:r>
      <w:r>
        <w:rPr>
          <w:rFonts w:ascii="仿宋" w:hAnsi="仿宋" w:eastAsia="仿宋" w:cs="Times New Roman"/>
          <w:kern w:val="2"/>
          <w:sz w:val="32"/>
          <w:szCs w:val="32"/>
          <w:lang w:bidi="ar-SA"/>
        </w:rPr>
        <w:t>份，渭南市财政局政府采购管理科、渭南市政府采购中心各备案一份。</w:t>
      </w:r>
    </w:p>
    <w:p w14:paraId="3446D3C6">
      <w:pPr>
        <w:pStyle w:val="5"/>
        <w:keepNext w:val="0"/>
        <w:keepLines w:val="0"/>
        <w:pageBreakBefore w:val="0"/>
        <w:widowControl w:val="0"/>
        <w:kinsoku/>
        <w:wordWrap/>
        <w:overflowPunct/>
        <w:topLinePunct w:val="0"/>
        <w:autoSpaceDE/>
        <w:autoSpaceDN/>
        <w:bidi w:val="0"/>
        <w:adjustRightInd/>
        <w:snapToGrid/>
        <w:spacing w:after="100" w:line="560" w:lineRule="exact"/>
        <w:ind w:left="0" w:leftChars="0" w:firstLine="640" w:firstLineChars="200"/>
        <w:jc w:val="both"/>
        <w:textAlignment w:val="auto"/>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eastAsia="zh-CN" w:bidi="ar-SA"/>
        </w:rPr>
        <w:t>（二）</w:t>
      </w:r>
      <w:r>
        <w:rPr>
          <w:rFonts w:ascii="仿宋" w:hAnsi="仿宋" w:eastAsia="仿宋" w:cs="Times New Roman"/>
          <w:kern w:val="2"/>
          <w:sz w:val="32"/>
          <w:szCs w:val="32"/>
          <w:lang w:bidi="ar-SA"/>
        </w:rPr>
        <w:t>合同执行过程中出现的未尽事宜，双方在不违背合同和招标文件的前提下协商解决。</w:t>
      </w:r>
    </w:p>
    <w:tbl>
      <w:tblPr>
        <w:tblStyle w:val="3"/>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4678"/>
      </w:tblGrid>
      <w:tr w14:paraId="4634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38A3F39C">
            <w:pPr>
              <w:spacing w:line="440" w:lineRule="exact"/>
              <w:jc w:val="center"/>
              <w:rPr>
                <w:rFonts w:ascii="仿宋" w:hAnsi="仿宋" w:eastAsia="仿宋"/>
              </w:rPr>
            </w:pPr>
            <w:r>
              <w:rPr>
                <w:rFonts w:hint="eastAsia" w:ascii="仿宋" w:hAnsi="仿宋" w:eastAsia="仿宋"/>
              </w:rPr>
              <w:t>甲  方</w:t>
            </w:r>
          </w:p>
        </w:tc>
        <w:tc>
          <w:tcPr>
            <w:tcW w:w="4678" w:type="dxa"/>
            <w:noWrap w:val="0"/>
            <w:vAlign w:val="top"/>
          </w:tcPr>
          <w:p w14:paraId="6EB7D1EC">
            <w:pPr>
              <w:spacing w:line="440" w:lineRule="exact"/>
              <w:jc w:val="center"/>
              <w:rPr>
                <w:rFonts w:ascii="仿宋" w:hAnsi="仿宋" w:eastAsia="仿宋"/>
              </w:rPr>
            </w:pPr>
            <w:r>
              <w:rPr>
                <w:rFonts w:hint="eastAsia" w:ascii="仿宋" w:hAnsi="仿宋" w:eastAsia="仿宋"/>
              </w:rPr>
              <w:t>乙  方</w:t>
            </w:r>
          </w:p>
        </w:tc>
      </w:tr>
      <w:tr w14:paraId="789C8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center"/>
          </w:tcPr>
          <w:p w14:paraId="47F414BC">
            <w:pPr>
              <w:spacing w:line="300" w:lineRule="exact"/>
              <w:jc w:val="center"/>
              <w:rPr>
                <w:rFonts w:ascii="仿宋" w:hAnsi="仿宋" w:eastAsia="仿宋"/>
                <w:szCs w:val="21"/>
              </w:rPr>
            </w:pPr>
            <w:r>
              <w:rPr>
                <w:rFonts w:hint="eastAsia" w:ascii="仿宋" w:hAnsi="仿宋" w:eastAsia="仿宋"/>
                <w:szCs w:val="21"/>
              </w:rPr>
              <w:t>采购人名称</w:t>
            </w:r>
          </w:p>
          <w:p w14:paraId="247FE59B">
            <w:pPr>
              <w:spacing w:line="300" w:lineRule="exact"/>
              <w:jc w:val="center"/>
              <w:rPr>
                <w:rFonts w:ascii="仿宋" w:hAnsi="仿宋" w:eastAsia="仿宋"/>
                <w:szCs w:val="21"/>
              </w:rPr>
            </w:pPr>
            <w:r>
              <w:rPr>
                <w:rFonts w:hint="eastAsia" w:ascii="仿宋" w:hAnsi="仿宋" w:eastAsia="仿宋"/>
                <w:szCs w:val="21"/>
              </w:rPr>
              <w:t>（盖章）</w:t>
            </w:r>
          </w:p>
        </w:tc>
        <w:tc>
          <w:tcPr>
            <w:tcW w:w="4678" w:type="dxa"/>
            <w:noWrap w:val="0"/>
            <w:vAlign w:val="center"/>
          </w:tcPr>
          <w:p w14:paraId="04D96B44">
            <w:pPr>
              <w:spacing w:line="300" w:lineRule="exact"/>
              <w:jc w:val="center"/>
              <w:rPr>
                <w:rFonts w:ascii="仿宋" w:hAnsi="仿宋" w:eastAsia="仿宋"/>
                <w:szCs w:val="21"/>
              </w:rPr>
            </w:pPr>
            <w:r>
              <w:rPr>
                <w:rFonts w:hint="eastAsia" w:ascii="仿宋" w:hAnsi="仿宋" w:eastAsia="仿宋"/>
                <w:szCs w:val="21"/>
              </w:rPr>
              <w:t>中标供应商全称</w:t>
            </w:r>
          </w:p>
          <w:p w14:paraId="5F6D80CD">
            <w:pPr>
              <w:spacing w:line="300" w:lineRule="exact"/>
              <w:jc w:val="center"/>
              <w:rPr>
                <w:rFonts w:ascii="仿宋" w:hAnsi="仿宋" w:eastAsia="仿宋"/>
                <w:szCs w:val="21"/>
              </w:rPr>
            </w:pPr>
            <w:r>
              <w:rPr>
                <w:rFonts w:hint="eastAsia" w:ascii="仿宋" w:hAnsi="仿宋" w:eastAsia="仿宋"/>
                <w:szCs w:val="21"/>
              </w:rPr>
              <w:t>（盖章）</w:t>
            </w:r>
          </w:p>
        </w:tc>
      </w:tr>
      <w:tr w14:paraId="68F82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477DFAE5">
            <w:pPr>
              <w:spacing w:line="440" w:lineRule="exact"/>
              <w:rPr>
                <w:rFonts w:ascii="仿宋" w:hAnsi="仿宋" w:eastAsia="仿宋"/>
                <w:szCs w:val="21"/>
              </w:rPr>
            </w:pPr>
            <w:r>
              <w:rPr>
                <w:rFonts w:hint="eastAsia" w:ascii="仿宋" w:hAnsi="仿宋" w:eastAsia="仿宋"/>
                <w:szCs w:val="21"/>
              </w:rPr>
              <w:t xml:space="preserve">地址： </w:t>
            </w:r>
          </w:p>
        </w:tc>
        <w:tc>
          <w:tcPr>
            <w:tcW w:w="4678" w:type="dxa"/>
            <w:noWrap w:val="0"/>
            <w:vAlign w:val="top"/>
          </w:tcPr>
          <w:p w14:paraId="249348E2">
            <w:pPr>
              <w:spacing w:line="440" w:lineRule="exact"/>
              <w:rPr>
                <w:rFonts w:ascii="仿宋" w:hAnsi="仿宋" w:eastAsia="仿宋"/>
                <w:szCs w:val="21"/>
              </w:rPr>
            </w:pPr>
            <w:r>
              <w:rPr>
                <w:rFonts w:hint="eastAsia" w:ascii="仿宋" w:hAnsi="仿宋" w:eastAsia="仿宋"/>
                <w:szCs w:val="21"/>
              </w:rPr>
              <w:t>地址：</w:t>
            </w:r>
          </w:p>
        </w:tc>
      </w:tr>
      <w:tr w14:paraId="30904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226A440D">
            <w:pPr>
              <w:spacing w:line="440" w:lineRule="exact"/>
              <w:rPr>
                <w:rFonts w:ascii="仿宋" w:hAnsi="仿宋" w:eastAsia="仿宋"/>
              </w:rPr>
            </w:pPr>
            <w:r>
              <w:rPr>
                <w:rFonts w:hint="eastAsia" w:ascii="仿宋" w:hAnsi="仿宋" w:eastAsia="仿宋"/>
                <w:szCs w:val="21"/>
              </w:rPr>
              <w:t>邮编：</w:t>
            </w:r>
          </w:p>
        </w:tc>
        <w:tc>
          <w:tcPr>
            <w:tcW w:w="4678" w:type="dxa"/>
            <w:noWrap w:val="0"/>
            <w:vAlign w:val="top"/>
          </w:tcPr>
          <w:p w14:paraId="7EAD67CE">
            <w:pPr>
              <w:spacing w:line="440" w:lineRule="exact"/>
              <w:rPr>
                <w:rFonts w:ascii="仿宋" w:hAnsi="仿宋" w:eastAsia="仿宋"/>
              </w:rPr>
            </w:pPr>
            <w:r>
              <w:rPr>
                <w:rFonts w:hint="eastAsia" w:ascii="仿宋" w:hAnsi="仿宋" w:eastAsia="仿宋"/>
                <w:szCs w:val="21"/>
              </w:rPr>
              <w:t>邮编：</w:t>
            </w:r>
          </w:p>
        </w:tc>
      </w:tr>
      <w:tr w14:paraId="4C420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644" w:type="dxa"/>
            <w:noWrap w:val="0"/>
            <w:vAlign w:val="top"/>
          </w:tcPr>
          <w:p w14:paraId="43036504">
            <w:pPr>
              <w:spacing w:line="440" w:lineRule="exact"/>
              <w:rPr>
                <w:rFonts w:ascii="仿宋" w:hAnsi="仿宋" w:eastAsia="仿宋"/>
                <w:szCs w:val="21"/>
              </w:rPr>
            </w:pPr>
            <w:r>
              <w:rPr>
                <w:rFonts w:hint="eastAsia" w:ascii="仿宋" w:hAnsi="仿宋" w:eastAsia="仿宋"/>
                <w:szCs w:val="21"/>
              </w:rPr>
              <w:t xml:space="preserve">法定代表人： </w:t>
            </w:r>
          </w:p>
        </w:tc>
        <w:tc>
          <w:tcPr>
            <w:tcW w:w="4678" w:type="dxa"/>
            <w:noWrap w:val="0"/>
            <w:vAlign w:val="top"/>
          </w:tcPr>
          <w:p w14:paraId="44C263D6">
            <w:pPr>
              <w:spacing w:line="440" w:lineRule="exact"/>
              <w:rPr>
                <w:rFonts w:ascii="仿宋" w:hAnsi="仿宋" w:eastAsia="仿宋"/>
              </w:rPr>
            </w:pPr>
            <w:r>
              <w:rPr>
                <w:rFonts w:hint="eastAsia" w:ascii="仿宋" w:hAnsi="仿宋" w:eastAsia="仿宋"/>
                <w:szCs w:val="21"/>
              </w:rPr>
              <w:t>法定代表人：</w:t>
            </w:r>
          </w:p>
        </w:tc>
      </w:tr>
      <w:tr w14:paraId="5D98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644" w:type="dxa"/>
            <w:noWrap w:val="0"/>
            <w:vAlign w:val="top"/>
          </w:tcPr>
          <w:p w14:paraId="38BE2D25">
            <w:pPr>
              <w:spacing w:line="440" w:lineRule="exact"/>
              <w:rPr>
                <w:rFonts w:ascii="仿宋" w:hAnsi="仿宋" w:eastAsia="仿宋"/>
              </w:rPr>
            </w:pPr>
            <w:r>
              <w:rPr>
                <w:rFonts w:hint="eastAsia" w:ascii="仿宋" w:hAnsi="仿宋" w:eastAsia="仿宋"/>
                <w:szCs w:val="21"/>
              </w:rPr>
              <w:t>被授权代表：（签字）</w:t>
            </w:r>
          </w:p>
        </w:tc>
        <w:tc>
          <w:tcPr>
            <w:tcW w:w="4678" w:type="dxa"/>
            <w:noWrap w:val="0"/>
            <w:vAlign w:val="top"/>
          </w:tcPr>
          <w:p w14:paraId="06CA09CF">
            <w:pPr>
              <w:spacing w:line="440" w:lineRule="exact"/>
              <w:rPr>
                <w:rFonts w:ascii="仿宋" w:hAnsi="仿宋" w:eastAsia="仿宋"/>
              </w:rPr>
            </w:pPr>
            <w:r>
              <w:rPr>
                <w:rFonts w:hint="eastAsia" w:ascii="仿宋" w:hAnsi="仿宋" w:eastAsia="仿宋"/>
                <w:szCs w:val="21"/>
              </w:rPr>
              <w:t>被授权代表：（签字）</w:t>
            </w:r>
          </w:p>
        </w:tc>
      </w:tr>
      <w:tr w14:paraId="5F28C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045971B1">
            <w:pPr>
              <w:spacing w:line="440" w:lineRule="exact"/>
              <w:rPr>
                <w:rFonts w:ascii="仿宋" w:hAnsi="仿宋" w:eastAsia="仿宋"/>
                <w:szCs w:val="21"/>
              </w:rPr>
            </w:pPr>
            <w:r>
              <w:rPr>
                <w:rFonts w:hint="eastAsia" w:ascii="仿宋" w:hAnsi="仿宋" w:eastAsia="仿宋"/>
                <w:szCs w:val="21"/>
              </w:rPr>
              <w:t>电话：</w:t>
            </w:r>
          </w:p>
        </w:tc>
        <w:tc>
          <w:tcPr>
            <w:tcW w:w="4678" w:type="dxa"/>
            <w:noWrap w:val="0"/>
            <w:vAlign w:val="top"/>
          </w:tcPr>
          <w:p w14:paraId="4F93708E">
            <w:pPr>
              <w:spacing w:line="440" w:lineRule="exact"/>
              <w:rPr>
                <w:rFonts w:ascii="仿宋" w:hAnsi="仿宋" w:eastAsia="仿宋"/>
              </w:rPr>
            </w:pPr>
            <w:r>
              <w:rPr>
                <w:rFonts w:hint="eastAsia" w:ascii="仿宋" w:hAnsi="仿宋" w:eastAsia="仿宋"/>
                <w:szCs w:val="21"/>
              </w:rPr>
              <w:t>电话：</w:t>
            </w:r>
          </w:p>
        </w:tc>
      </w:tr>
      <w:tr w14:paraId="69CF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2CFD9091">
            <w:pPr>
              <w:spacing w:line="440" w:lineRule="exact"/>
              <w:rPr>
                <w:rFonts w:ascii="仿宋" w:hAnsi="仿宋" w:eastAsia="仿宋"/>
                <w:szCs w:val="21"/>
              </w:rPr>
            </w:pPr>
            <w:r>
              <w:rPr>
                <w:rFonts w:hint="eastAsia" w:ascii="仿宋" w:hAnsi="仿宋" w:eastAsia="仿宋"/>
                <w:szCs w:val="21"/>
              </w:rPr>
              <w:t>传真：</w:t>
            </w:r>
          </w:p>
        </w:tc>
        <w:tc>
          <w:tcPr>
            <w:tcW w:w="4678" w:type="dxa"/>
            <w:noWrap w:val="0"/>
            <w:vAlign w:val="top"/>
          </w:tcPr>
          <w:p w14:paraId="03F95C55">
            <w:pPr>
              <w:spacing w:line="440" w:lineRule="exact"/>
              <w:rPr>
                <w:rFonts w:ascii="仿宋" w:hAnsi="仿宋" w:eastAsia="仿宋"/>
              </w:rPr>
            </w:pPr>
            <w:r>
              <w:rPr>
                <w:rFonts w:hint="eastAsia" w:ascii="仿宋" w:hAnsi="仿宋" w:eastAsia="仿宋"/>
                <w:szCs w:val="21"/>
              </w:rPr>
              <w:t>传真：</w:t>
            </w:r>
          </w:p>
        </w:tc>
      </w:tr>
      <w:tr w14:paraId="12E0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31567C89">
            <w:pPr>
              <w:spacing w:line="440" w:lineRule="exact"/>
              <w:rPr>
                <w:rFonts w:ascii="仿宋" w:hAnsi="仿宋" w:eastAsia="仿宋"/>
              </w:rPr>
            </w:pPr>
          </w:p>
        </w:tc>
        <w:tc>
          <w:tcPr>
            <w:tcW w:w="4678" w:type="dxa"/>
            <w:noWrap w:val="0"/>
            <w:vAlign w:val="top"/>
          </w:tcPr>
          <w:p w14:paraId="2878BC62">
            <w:pPr>
              <w:spacing w:line="440" w:lineRule="exact"/>
              <w:rPr>
                <w:rFonts w:ascii="仿宋" w:hAnsi="仿宋" w:eastAsia="仿宋"/>
              </w:rPr>
            </w:pPr>
            <w:r>
              <w:rPr>
                <w:rFonts w:hint="eastAsia" w:ascii="仿宋" w:hAnsi="仿宋" w:eastAsia="仿宋"/>
                <w:szCs w:val="21"/>
              </w:rPr>
              <w:t>开户银行：</w:t>
            </w:r>
          </w:p>
        </w:tc>
      </w:tr>
      <w:tr w14:paraId="29F6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4644" w:type="dxa"/>
            <w:noWrap w:val="0"/>
            <w:vAlign w:val="top"/>
          </w:tcPr>
          <w:p w14:paraId="18F9B608">
            <w:pPr>
              <w:spacing w:line="440" w:lineRule="exact"/>
              <w:rPr>
                <w:rFonts w:ascii="仿宋" w:hAnsi="仿宋" w:eastAsia="仿宋"/>
              </w:rPr>
            </w:pPr>
          </w:p>
        </w:tc>
        <w:tc>
          <w:tcPr>
            <w:tcW w:w="4678" w:type="dxa"/>
            <w:noWrap w:val="0"/>
            <w:vAlign w:val="top"/>
          </w:tcPr>
          <w:p w14:paraId="708B331A">
            <w:pPr>
              <w:spacing w:line="440" w:lineRule="exact"/>
              <w:rPr>
                <w:rFonts w:ascii="仿宋" w:hAnsi="仿宋" w:eastAsia="仿宋"/>
                <w:szCs w:val="21"/>
              </w:rPr>
            </w:pPr>
            <w:r>
              <w:rPr>
                <w:rFonts w:hint="eastAsia" w:ascii="仿宋" w:hAnsi="仿宋" w:eastAsia="仿宋"/>
                <w:szCs w:val="21"/>
              </w:rPr>
              <w:t>帐号：</w:t>
            </w:r>
          </w:p>
        </w:tc>
      </w:tr>
      <w:tr w14:paraId="3DED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0B1778BD">
            <w:pPr>
              <w:spacing w:line="440" w:lineRule="exact"/>
              <w:rPr>
                <w:rFonts w:ascii="仿宋" w:hAnsi="仿宋" w:eastAsia="仿宋"/>
              </w:rPr>
            </w:pPr>
            <w:r>
              <w:rPr>
                <w:rFonts w:hint="eastAsia" w:ascii="仿宋" w:hAnsi="仿宋" w:eastAsia="仿宋"/>
                <w:szCs w:val="21"/>
              </w:rPr>
              <w:t>日期：   年   月   日</w:t>
            </w:r>
          </w:p>
        </w:tc>
        <w:tc>
          <w:tcPr>
            <w:tcW w:w="4678" w:type="dxa"/>
            <w:noWrap w:val="0"/>
            <w:vAlign w:val="top"/>
          </w:tcPr>
          <w:p w14:paraId="2BA1567D">
            <w:pPr>
              <w:spacing w:line="440" w:lineRule="exact"/>
              <w:rPr>
                <w:rFonts w:ascii="仿宋" w:hAnsi="仿宋" w:eastAsia="仿宋"/>
              </w:rPr>
            </w:pPr>
            <w:r>
              <w:rPr>
                <w:rFonts w:hint="eastAsia" w:ascii="仿宋" w:hAnsi="仿宋" w:eastAsia="仿宋"/>
                <w:szCs w:val="21"/>
              </w:rPr>
              <w:t>日期：   年   月   日</w:t>
            </w:r>
          </w:p>
        </w:tc>
      </w:tr>
    </w:tbl>
    <w:p w14:paraId="7BA54981">
      <w:pPr>
        <w:spacing w:line="500" w:lineRule="exact"/>
      </w:pPr>
      <w:r>
        <w:rPr>
          <w:rFonts w:hint="eastAsia" w:ascii="仿宋" w:hAnsi="仿宋" w:eastAsia="仿宋"/>
          <w:sz w:val="42"/>
          <w:szCs w:val="42"/>
        </w:rPr>
        <w:t xml:space="preserve">   </w:t>
      </w:r>
      <w:r>
        <w:rPr>
          <w:rFonts w:hint="eastAsia" w:ascii="仿宋" w:hAnsi="仿宋" w:eastAsia="仿宋"/>
          <w:sz w:val="28"/>
          <w:szCs w:val="28"/>
          <w:lang w:val="zh-CN"/>
        </w:rPr>
        <w:t>备注：以上合同条款中，甲方为采购人，乙方为中标供应商。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477997"/>
    <w:multiLevelType w:val="singleLevel"/>
    <w:tmpl w:val="7E47799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E4CA5"/>
    <w:rsid w:val="022017C3"/>
    <w:rsid w:val="07013F3A"/>
    <w:rsid w:val="09F2225F"/>
    <w:rsid w:val="0FE663C2"/>
    <w:rsid w:val="17F453F5"/>
    <w:rsid w:val="18335F1D"/>
    <w:rsid w:val="1C5F19D6"/>
    <w:rsid w:val="245B0CD5"/>
    <w:rsid w:val="2CB5119F"/>
    <w:rsid w:val="2DA846E3"/>
    <w:rsid w:val="317C04DD"/>
    <w:rsid w:val="31810686"/>
    <w:rsid w:val="35AD5109"/>
    <w:rsid w:val="3BDE6EFF"/>
    <w:rsid w:val="42CD2946"/>
    <w:rsid w:val="454669E0"/>
    <w:rsid w:val="4ABD14F2"/>
    <w:rsid w:val="4F8660B3"/>
    <w:rsid w:val="51B82A14"/>
    <w:rsid w:val="551B39E5"/>
    <w:rsid w:val="55654C60"/>
    <w:rsid w:val="628812DE"/>
    <w:rsid w:val="77435EC5"/>
    <w:rsid w:val="77860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正文文本1"/>
    <w:basedOn w:val="1"/>
    <w:qFormat/>
    <w:uiPriority w:val="0"/>
    <w:pPr>
      <w:spacing w:line="439" w:lineRule="auto"/>
      <w:ind w:firstLine="400"/>
      <w:jc w:val="left"/>
    </w:pPr>
    <w:rPr>
      <w:rFonts w:ascii="宋体" w:hAnsi="宋体" w:eastAsia="宋体" w:cs="宋体"/>
      <w:kern w:val="0"/>
      <w:sz w:val="20"/>
      <w:lang w:val="zh-CN" w:bidi="zh-CN"/>
    </w:rPr>
  </w:style>
  <w:style w:type="paragraph" w:customStyle="1" w:styleId="6">
    <w:name w:val="表格标题"/>
    <w:basedOn w:val="1"/>
    <w:qFormat/>
    <w:uiPriority w:val="0"/>
    <w:pPr>
      <w:jc w:val="left"/>
    </w:pPr>
    <w:rPr>
      <w:rFonts w:ascii="宋体" w:hAnsi="宋体" w:eastAsia="宋体" w:cs="宋体"/>
      <w:kern w:val="0"/>
      <w:sz w:val="20"/>
      <w:lang w:val="zh-CN" w:bidi="zh-CN"/>
    </w:rPr>
  </w:style>
  <w:style w:type="paragraph" w:customStyle="1" w:styleId="7">
    <w:name w:val="其他"/>
    <w:basedOn w:val="1"/>
    <w:qFormat/>
    <w:uiPriority w:val="0"/>
    <w:pPr>
      <w:spacing w:line="439" w:lineRule="auto"/>
      <w:ind w:firstLine="400"/>
      <w:jc w:val="left"/>
    </w:pPr>
    <w:rPr>
      <w:rFonts w:ascii="宋体" w:hAnsi="宋体" w:eastAsia="宋体" w:cs="宋体"/>
      <w:kern w:val="0"/>
      <w:sz w:val="20"/>
      <w:lang w:val="zh-CN" w:bidi="zh-C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2876</Words>
  <Characters>2892</Characters>
  <Lines>0</Lines>
  <Paragraphs>0</Paragraphs>
  <TotalTime>2</TotalTime>
  <ScaleCrop>false</ScaleCrop>
  <LinksUpToDate>false</LinksUpToDate>
  <CharactersWithSpaces>2960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2025-06-18T03:04:00Z</dcterms:created>
  <dc:creator>Administrator</dc:creator>
  <cp:lastModifiedBy>独狼</cp:lastModifiedBy>
  <dcterms:modified xsi:type="dcterms:W3CDTF">2025-09-16T08:10:18Z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eyJoZGlkIjoiNjllYmE1ZDdiMmIwMTg0ZjJlYTU5ZTAxYzQ0ZjZkYmUiLCJ1c2VySWQiOiIzODM3OTY3MTAifQ==</vt:lpwstr>
  </property>
  <property fmtid="{D5CDD505-2E9C-101B-9397-08002B2CF9AE}" pid="4" name="ICV">
    <vt:lpwstr>9896E6C2486148F8811524BBE850A6E4_12</vt:lpwstr>
  </property>
</Properties>
</file>