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版本号：ZCSP-渭南市-2025-0072420250907001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非物质文化遗产展示传习馆基础设施改建项目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ZCSP-渭南市-2025-00724</w:t>
      </w:r>
      <w:r>
        <w:br/>
      </w:r>
      <w:r>
        <w:br/>
      </w:r>
      <w:r>
        <w:br/>
      </w:r>
    </w:p>
    <w:p>
      <w:pPr>
        <w:pStyle w:val="null3"/>
        <w:jc w:val="center"/>
        <w:outlineLvl w:val="2"/>
      </w:pPr>
      <w:r>
        <w:rPr>
          <w:rFonts w:ascii="仿宋_GB2312" w:hAnsi="仿宋_GB2312" w:cs="仿宋_GB2312" w:eastAsia="仿宋_GB2312"/>
          <w:sz w:val="28"/>
          <w:b/>
        </w:rPr>
        <w:t>渭南市文化艺术中心</w:t>
      </w:r>
    </w:p>
    <w:p>
      <w:pPr>
        <w:pStyle w:val="null3"/>
        <w:jc w:val="center"/>
        <w:outlineLvl w:val="2"/>
      </w:pPr>
      <w:r>
        <w:rPr>
          <w:rFonts w:ascii="仿宋_GB2312" w:hAnsi="仿宋_GB2312" w:cs="仿宋_GB2312" w:eastAsia="仿宋_GB2312"/>
          <w:sz w:val="28"/>
          <w:b/>
        </w:rPr>
        <w:t>品智工程咨询有限公司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品智工程咨询有限公司</w:t>
      </w:r>
      <w:r>
        <w:rPr>
          <w:rFonts w:ascii="仿宋_GB2312" w:hAnsi="仿宋_GB2312" w:cs="仿宋_GB2312" w:eastAsia="仿宋_GB2312"/>
        </w:rPr>
        <w:t>（以下简称“代理机构”）受</w:t>
      </w:r>
      <w:r>
        <w:rPr>
          <w:rFonts w:ascii="仿宋_GB2312" w:hAnsi="仿宋_GB2312" w:cs="仿宋_GB2312" w:eastAsia="仿宋_GB2312"/>
        </w:rPr>
        <w:t>渭南市文化艺术中心</w:t>
      </w:r>
      <w:r>
        <w:rPr>
          <w:rFonts w:ascii="仿宋_GB2312" w:hAnsi="仿宋_GB2312" w:cs="仿宋_GB2312" w:eastAsia="仿宋_GB2312"/>
        </w:rPr>
        <w:t>委托，拟对</w:t>
      </w:r>
      <w:r>
        <w:rPr>
          <w:rFonts w:ascii="仿宋_GB2312" w:hAnsi="仿宋_GB2312" w:cs="仿宋_GB2312" w:eastAsia="仿宋_GB2312"/>
        </w:rPr>
        <w:t>非物质文化遗产展示传习馆基础设施改建项目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ZCSP-渭南市-2025-00724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非物质文化遗产展示传习馆基础设施改建项目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本项目为设计施工一体化的工程，主要针对非遗传习馆一楼大厅提升改造、二楼三楼楼梯间改造、二层平台提升改造、三楼馆内动线改造。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采购包1（渭南市文化艺术中心非物质文化遗产展示传习馆基础设施改建项目）：属于专门面向中小企业采购。</w:t>
      </w:r>
    </w:p>
    <w:p>
      <w:pPr>
        <w:pStyle w:val="null3"/>
      </w:pPr>
      <w:r>
        <w:rPr>
          <w:rFonts w:ascii="仿宋_GB2312" w:hAnsi="仿宋_GB2312" w:cs="仿宋_GB2312" w:eastAsia="仿宋_GB2312"/>
        </w:rPr>
        <w:t>供应商以联合体形式参加本采购包的，联合体各方应当为中小企业。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1、营业执照：供应商应具有独立承担民事责任的能力且具备向采购人提供相关服务的企业法人或者自然人,企业法人应提供统一社会信用代码的营业执照；自然人提供身份证明文件</w:t>
      </w:r>
    </w:p>
    <w:p>
      <w:pPr>
        <w:pStyle w:val="null3"/>
      </w:pPr>
      <w:r>
        <w:rPr>
          <w:rFonts w:ascii="仿宋_GB2312" w:hAnsi="仿宋_GB2312" w:cs="仿宋_GB2312" w:eastAsia="仿宋_GB2312"/>
        </w:rPr>
        <w:t>2、法定代表人或授权委托代理人：供应商应授权合法的人员参加竞争性磋商全过程，其中法定代表人直接参加竞争性磋商的，须出具法定代表人身份证明书及身份证，并与营业执照上信息一致。法定代表人授权代表参加竞争性磋商的，须出具法定代表人授权书、授权代表身份证及一年内在本单位连续三个月的社保缴纳证明</w:t>
      </w:r>
    </w:p>
    <w:p>
      <w:pPr>
        <w:pStyle w:val="null3"/>
      </w:pPr>
      <w:r>
        <w:rPr>
          <w:rFonts w:ascii="仿宋_GB2312" w:hAnsi="仿宋_GB2312" w:cs="仿宋_GB2312" w:eastAsia="仿宋_GB2312"/>
        </w:rPr>
        <w:t>3、税收缴纳证明和社会保障资金缴纳证明：①税收缴纳证明：提供截止至开标时间前一年内已缴纳的至少一个月的纳税证明或完税证明，依法免税的单位应提供相关证明材料；②社会保障资金缴纳证明：提供截止至开标时间前一年内至今至少一个月的社会保障资金缴存单据及社保机构开具的社会保险参保缴费情况证明，依法不需要缴纳社会保障资金的单位应提供相关证明材料</w:t>
      </w:r>
    </w:p>
    <w:p>
      <w:pPr>
        <w:pStyle w:val="null3"/>
      </w:pPr>
      <w:r>
        <w:rPr>
          <w:rFonts w:ascii="仿宋_GB2312" w:hAnsi="仿宋_GB2312" w:cs="仿宋_GB2312" w:eastAsia="仿宋_GB2312"/>
        </w:rPr>
        <w:t>4、财务状况报告：提供2023或2024年度财务审计报告（成立时间至提交响应文件截止时间不足一年的可提供成立后任意时段的资产负债表）或其基本存款账户开户银行出具的开标前六个月内资信证明及基本存款账户的开户证明；</w:t>
      </w:r>
    </w:p>
    <w:p>
      <w:pPr>
        <w:pStyle w:val="null3"/>
      </w:pPr>
      <w:r>
        <w:rPr>
          <w:rFonts w:ascii="仿宋_GB2312" w:hAnsi="仿宋_GB2312" w:cs="仿宋_GB2312" w:eastAsia="仿宋_GB2312"/>
        </w:rPr>
        <w:t>5、参加本次政府采购活动前三年内在经营活动中没有重大违法记录：提供参加本次政府采购活动前三年内在经营活动中没有重大违法记录的书面声明</w:t>
      </w:r>
    </w:p>
    <w:p>
      <w:pPr>
        <w:pStyle w:val="null3"/>
      </w:pPr>
      <w:r>
        <w:rPr>
          <w:rFonts w:ascii="仿宋_GB2312" w:hAnsi="仿宋_GB2312" w:cs="仿宋_GB2312" w:eastAsia="仿宋_GB2312"/>
        </w:rPr>
        <w:t>6、具有履行合同所必须的设备和专业技术能力：提供具有履行合同所必须的设备和专业技术能力的承诺书</w:t>
      </w:r>
    </w:p>
    <w:p>
      <w:pPr>
        <w:pStyle w:val="null3"/>
      </w:pPr>
      <w:r>
        <w:rPr>
          <w:rFonts w:ascii="仿宋_GB2312" w:hAnsi="仿宋_GB2312" w:cs="仿宋_GB2312" w:eastAsia="仿宋_GB2312"/>
        </w:rPr>
        <w:t>7、供应商资质要求：供应商应具有建设行政主管部门颁发的建筑行业 (建筑工程) 设计乙级及以上（含乙级）或建筑行业工程设计乙级及以上资质或工程设计综合甲级资质；供应商应同时具备建筑装修装饰工程专业承包二级及以上或建筑工程施工总承包三级及以上资质，且具备合格有效的安全生产许可证。（若为联合体投标，联合体应分别提供相关资料）</w:t>
      </w:r>
    </w:p>
    <w:p>
      <w:pPr>
        <w:pStyle w:val="null3"/>
      </w:pPr>
      <w:r>
        <w:rPr>
          <w:rFonts w:ascii="仿宋_GB2312" w:hAnsi="仿宋_GB2312" w:cs="仿宋_GB2312" w:eastAsia="仿宋_GB2312"/>
        </w:rPr>
        <w:t>8、项目经理、施工负责人及设计负责人资格要求：供应商拟派项目经理须具备建筑工程专业二级及以上注册建造师资格及有效的安全生产考核B证，在本单位注册且无其他在建工程项目；拟派施工负责人具备建筑工程专业二级及以上注册建造师资格，具有有效的安全生产考核B证，在本单位注册且无在建工程；拟派设计负责人须具有相关专业中级及以上技术职称；（拟派项目经理与施工负责人或设计负责人可为同一人，但须满足相应岗位资格要求）。</w:t>
      </w:r>
    </w:p>
    <w:p>
      <w:pPr>
        <w:pStyle w:val="null3"/>
      </w:pPr>
      <w:r>
        <w:rPr>
          <w:rFonts w:ascii="仿宋_GB2312" w:hAnsi="仿宋_GB2312" w:cs="仿宋_GB2312" w:eastAsia="仿宋_GB2312"/>
        </w:rPr>
        <w:t>9、控股关系：单位负责人为同一人或者存在直接控股、管理关系的不同供应商，不得参加同一合同项下的政府采购活动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10、联合体投标：联合体投标应满足以下要求： ① 联合体协议中要载明联合体的牵头单位，并声明联合体各方的权利和义务、相关工作范围，本项目只接受由牵头人提交的网上申请，联合体参与方不允许更换； ② 联合体投标的，联合体成员个数最多不得超过 2 个。</w:t>
      </w:r>
    </w:p>
    <w:p>
      <w:pPr>
        <w:pStyle w:val="null3"/>
      </w:pPr>
      <w:r>
        <w:rPr>
          <w:rFonts w:ascii="仿宋_GB2312" w:hAnsi="仿宋_GB2312" w:cs="仿宋_GB2312" w:eastAsia="仿宋_GB2312"/>
        </w:rPr>
        <w:t>11、信用要求：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渭南市文化艺术中心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渭南市三贤路北段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渭南市文化艺术中心经办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13992328132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品智工程咨询有限公司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陕西省西安市未央区陕西省西安市经济技术开发区凤城七路长和国际A座1502室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袁新洁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17349239651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采购包1：1,075,000.00元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开户名称：品智工程咨询有限公司渭南分公司</w:t>
            </w:r>
          </w:p>
          <w:p>
            <w:pPr>
              <w:pStyle w:val="null3"/>
            </w:pPr>
            <w:r>
              <w:rPr>
                <w:rFonts w:ascii="仿宋_GB2312" w:hAnsi="仿宋_GB2312" w:cs="仿宋_GB2312" w:eastAsia="仿宋_GB2312"/>
              </w:rPr>
              <w:t>开户银行：中国建设银行股份有限公司渭南胜利大街支行</w:t>
            </w:r>
          </w:p>
          <w:p>
            <w:pPr>
              <w:pStyle w:val="null3"/>
            </w:pPr>
            <w:r>
              <w:rPr>
                <w:rFonts w:ascii="仿宋_GB2312" w:hAnsi="仿宋_GB2312" w:cs="仿宋_GB2312" w:eastAsia="仿宋_GB2312"/>
              </w:rPr>
              <w:t>银行账号：61050164140000001103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代理服务费收费标准：参照国家财政部、国家计委、国家物价局(2002)1980号，国家发改委(2003 )857号等文件规定收取，由中标人在领取中标通知书前一次性全额付清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渭南市文化艺术中心</w:t>
      </w:r>
      <w:r>
        <w:rPr>
          <w:rFonts w:ascii="仿宋_GB2312" w:hAnsi="仿宋_GB2312" w:cs="仿宋_GB2312" w:eastAsia="仿宋_GB2312"/>
        </w:rPr>
        <w:t>和</w:t>
      </w:r>
      <w:r>
        <w:rPr>
          <w:rFonts w:ascii="仿宋_GB2312" w:hAnsi="仿宋_GB2312" w:cs="仿宋_GB2312" w:eastAsia="仿宋_GB2312"/>
        </w:rPr>
        <w:t>品智工程咨询有限公司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渭南市文化艺术中心</w:t>
      </w:r>
      <w:r>
        <w:rPr>
          <w:rFonts w:ascii="仿宋_GB2312" w:hAnsi="仿宋_GB2312" w:cs="仿宋_GB2312" w:eastAsia="仿宋_GB2312"/>
        </w:rPr>
        <w:t>负责解释。除上述磋商文件内容，其他内容由</w:t>
      </w:r>
      <w:r>
        <w:rPr>
          <w:rFonts w:ascii="仿宋_GB2312" w:hAnsi="仿宋_GB2312" w:cs="仿宋_GB2312" w:eastAsia="仿宋_GB2312"/>
        </w:rPr>
        <w:t>品智工程咨询有限公司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渭南市文化艺术中心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品智工程咨询有限公司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符合国家标准、行业标准以及现行技术规范要求达到合格标准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联系人：袁新洁</w:t>
      </w:r>
    </w:p>
    <w:p>
      <w:pPr>
        <w:pStyle w:val="null3"/>
      </w:pPr>
      <w:r>
        <w:rPr>
          <w:rFonts w:ascii="仿宋_GB2312" w:hAnsi="仿宋_GB2312" w:cs="仿宋_GB2312" w:eastAsia="仿宋_GB2312"/>
        </w:rPr>
        <w:t>联系电话：17349239651</w:t>
      </w:r>
    </w:p>
    <w:p>
      <w:pPr>
        <w:pStyle w:val="null3"/>
      </w:pPr>
      <w:r>
        <w:rPr>
          <w:rFonts w:ascii="仿宋_GB2312" w:hAnsi="仿宋_GB2312" w:cs="仿宋_GB2312" w:eastAsia="仿宋_GB2312"/>
        </w:rPr>
        <w:t>地址：渭南市临渭区胜利大街与杜化路十字海兴城南门三楼</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1,075,000.00</w:t>
      </w:r>
    </w:p>
    <w:p>
      <w:pPr>
        <w:pStyle w:val="null3"/>
      </w:pPr>
      <w:r>
        <w:rPr>
          <w:rFonts w:ascii="仿宋_GB2312" w:hAnsi="仿宋_GB2312" w:cs="仿宋_GB2312" w:eastAsia="仿宋_GB2312"/>
        </w:rPr>
        <w:t>采购包最高限价（元）: 1,075,000.00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渭南市文化艺术中心非物质文化遗产展示传习馆基础设施改建项目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1,075,000.00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标的名称：渭南市文化艺术中心非物质文化遗产展示传习馆基础设施改建项目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 xml:space="preserve">   </w:t>
            </w:r>
          </w:p>
          <w:p>
            <w:pPr>
              <w:pStyle w:val="null3"/>
              <w:ind w:firstLine="482"/>
              <w:jc w:val="both"/>
            </w:pPr>
            <w:r>
              <w:rPr>
                <w:rFonts w:ascii="仿宋_GB2312" w:hAnsi="仿宋_GB2312" w:cs="仿宋_GB2312" w:eastAsia="仿宋_GB2312"/>
                <w:sz w:val="24"/>
                <w:b/>
              </w:rPr>
              <w:t>一、采购需求</w:t>
            </w:r>
          </w:p>
          <w:p>
            <w:pPr>
              <w:pStyle w:val="null3"/>
              <w:ind w:firstLine="480"/>
              <w:jc w:val="both"/>
            </w:pPr>
            <w:r>
              <w:rPr>
                <w:rFonts w:ascii="仿宋_GB2312" w:hAnsi="仿宋_GB2312" w:cs="仿宋_GB2312" w:eastAsia="仿宋_GB2312"/>
                <w:sz w:val="24"/>
              </w:rPr>
              <w:t>本项目为设计施工一体化的工程，项目实施地点为</w:t>
            </w:r>
            <w:r>
              <w:rPr>
                <w:rFonts w:ascii="仿宋_GB2312" w:hAnsi="仿宋_GB2312" w:cs="仿宋_GB2312" w:eastAsia="仿宋_GB2312"/>
                <w:sz w:val="24"/>
              </w:rPr>
              <w:t>渭南市艺术中心</w:t>
            </w:r>
            <w:r>
              <w:rPr>
                <w:rFonts w:ascii="仿宋_GB2312" w:hAnsi="仿宋_GB2312" w:cs="仿宋_GB2312" w:eastAsia="仿宋_GB2312"/>
                <w:sz w:val="24"/>
              </w:rPr>
              <w:t>。项目内所有工作均由成交单位负责。本项目范围包含设计施工服务；设计</w:t>
            </w:r>
            <w:r>
              <w:rPr>
                <w:rFonts w:ascii="仿宋_GB2312" w:hAnsi="仿宋_GB2312" w:cs="仿宋_GB2312" w:eastAsia="仿宋_GB2312"/>
                <w:sz w:val="24"/>
              </w:rPr>
              <w:t>和</w:t>
            </w:r>
            <w:r>
              <w:rPr>
                <w:rFonts w:ascii="仿宋_GB2312" w:hAnsi="仿宋_GB2312" w:cs="仿宋_GB2312" w:eastAsia="仿宋_GB2312"/>
                <w:sz w:val="24"/>
              </w:rPr>
              <w:t>施工制作；主要功能</w:t>
            </w:r>
            <w:r>
              <w:rPr>
                <w:rFonts w:ascii="仿宋_GB2312" w:hAnsi="仿宋_GB2312" w:cs="仿宋_GB2312" w:eastAsia="仿宋_GB2312"/>
                <w:sz w:val="24"/>
              </w:rPr>
              <w:t>或</w:t>
            </w:r>
            <w:r>
              <w:rPr>
                <w:rFonts w:ascii="仿宋_GB2312" w:hAnsi="仿宋_GB2312" w:cs="仿宋_GB2312" w:eastAsia="仿宋_GB2312"/>
                <w:sz w:val="24"/>
              </w:rPr>
              <w:t>目标</w:t>
            </w:r>
            <w:r>
              <w:rPr>
                <w:rFonts w:ascii="仿宋_GB2312" w:hAnsi="仿宋_GB2312" w:cs="仿宋_GB2312" w:eastAsia="仿宋_GB2312"/>
                <w:sz w:val="24"/>
              </w:rPr>
              <w:t>:</w:t>
            </w:r>
            <w:r>
              <w:rPr>
                <w:rFonts w:ascii="仿宋_GB2312" w:hAnsi="仿宋_GB2312" w:cs="仿宋_GB2312" w:eastAsia="仿宋_GB2312"/>
                <w:sz w:val="24"/>
              </w:rPr>
              <w:t>在渭南市印发《渭南市</w:t>
            </w:r>
            <w:r>
              <w:rPr>
                <w:rFonts w:ascii="仿宋_GB2312" w:hAnsi="仿宋_GB2312" w:cs="仿宋_GB2312" w:eastAsia="仿宋_GB2312"/>
                <w:sz w:val="24"/>
              </w:rPr>
              <w:t>“十四五”文化旅游融合发展规划》，推动文旅高质量发展的背景下，以提升渭南市公共文化服务效能为重心，聚焦非遗展示、非遗传承。本项目主要针对非遗传习馆一楼大厅提升改造、二楼三楼楼梯间改造、二层平台提升改造、三楼馆内动线改造。</w:t>
            </w:r>
          </w:p>
          <w:p>
            <w:pPr>
              <w:pStyle w:val="null3"/>
              <w:ind w:firstLine="482"/>
              <w:jc w:val="both"/>
            </w:pPr>
            <w:r>
              <w:rPr>
                <w:rFonts w:ascii="仿宋_GB2312" w:hAnsi="仿宋_GB2312" w:cs="仿宋_GB2312" w:eastAsia="仿宋_GB2312"/>
                <w:sz w:val="24"/>
                <w:b/>
              </w:rPr>
              <w:t>二、采购要求</w:t>
            </w:r>
          </w:p>
          <w:p>
            <w:pPr>
              <w:pStyle w:val="null3"/>
              <w:ind w:firstLine="480"/>
              <w:jc w:val="both"/>
            </w:pPr>
            <w:r>
              <w:rPr>
                <w:rFonts w:ascii="仿宋_GB2312" w:hAnsi="仿宋_GB2312" w:cs="仿宋_GB2312" w:eastAsia="仿宋_GB2312"/>
                <w:sz w:val="24"/>
              </w:rPr>
              <w:t>1.通过进行必要的资料收集、分析梳理、策划等专业技术手段，形成符合</w:t>
            </w:r>
            <w:r>
              <w:rPr>
                <w:rFonts w:ascii="仿宋_GB2312" w:hAnsi="仿宋_GB2312" w:cs="仿宋_GB2312" w:eastAsia="仿宋_GB2312"/>
                <w:sz w:val="24"/>
              </w:rPr>
              <w:t>本项目</w:t>
            </w:r>
            <w:r>
              <w:rPr>
                <w:rFonts w:ascii="仿宋_GB2312" w:hAnsi="仿宋_GB2312" w:cs="仿宋_GB2312" w:eastAsia="仿宋_GB2312"/>
                <w:sz w:val="24"/>
              </w:rPr>
              <w:t>要求的设计方案、施工方案、配套实施方案。</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本项目</w:t>
            </w:r>
            <w:r>
              <w:rPr>
                <w:rFonts w:ascii="仿宋_GB2312" w:hAnsi="仿宋_GB2312" w:cs="仿宋_GB2312" w:eastAsia="仿宋_GB2312"/>
                <w:sz w:val="24"/>
              </w:rPr>
              <w:t>广告展板制作、模具制作</w:t>
            </w:r>
            <w:r>
              <w:rPr>
                <w:rFonts w:ascii="仿宋_GB2312" w:hAnsi="仿宋_GB2312" w:cs="仿宋_GB2312" w:eastAsia="仿宋_GB2312"/>
                <w:sz w:val="24"/>
              </w:rPr>
              <w:t>、仿制品材料严格按国家标准生产制造</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本项目要求</w:t>
            </w:r>
            <w:r>
              <w:rPr>
                <w:rFonts w:ascii="仿宋_GB2312" w:hAnsi="仿宋_GB2312" w:cs="仿宋_GB2312" w:eastAsia="仿宋_GB2312"/>
                <w:sz w:val="24"/>
              </w:rPr>
              <w:t>总体规划设计，提供完整的设计方案（包含平面设计、效果图设计、</w:t>
            </w:r>
            <w:r>
              <w:rPr>
                <w:rFonts w:ascii="仿宋_GB2312" w:hAnsi="仿宋_GB2312" w:cs="仿宋_GB2312" w:eastAsia="仿宋_GB2312"/>
                <w:sz w:val="24"/>
              </w:rPr>
              <w:t>施工图设计</w:t>
            </w:r>
            <w:r>
              <w:rPr>
                <w:rFonts w:ascii="仿宋_GB2312" w:hAnsi="仿宋_GB2312" w:cs="仿宋_GB2312" w:eastAsia="仿宋_GB2312"/>
                <w:sz w:val="24"/>
              </w:rPr>
              <w:t>），并对设计方案进行说明。</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本项目要求</w:t>
            </w:r>
            <w:r>
              <w:rPr>
                <w:rFonts w:ascii="仿宋_GB2312" w:hAnsi="仿宋_GB2312" w:cs="仿宋_GB2312" w:eastAsia="仿宋_GB2312"/>
                <w:sz w:val="24"/>
              </w:rPr>
              <w:t>设计方案融入历史元素，重大事件，主要人物，整体方案综合考虑设计效果。</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设计</w:t>
            </w:r>
            <w:r>
              <w:rPr>
                <w:rFonts w:ascii="仿宋_GB2312" w:hAnsi="仿宋_GB2312" w:cs="仿宋_GB2312" w:eastAsia="仿宋_GB2312"/>
                <w:sz w:val="24"/>
              </w:rPr>
              <w:t>色彩要鲜明，主题明确。</w:t>
            </w:r>
          </w:p>
          <w:p>
            <w:pPr>
              <w:pStyle w:val="null3"/>
              <w:ind w:firstLine="482"/>
              <w:jc w:val="both"/>
            </w:pPr>
            <w:r>
              <w:rPr>
                <w:rFonts w:ascii="仿宋_GB2312" w:hAnsi="仿宋_GB2312" w:cs="仿宋_GB2312" w:eastAsia="仿宋_GB2312"/>
                <w:sz w:val="24"/>
                <w:b/>
              </w:rPr>
              <w:t>三、展示内容</w:t>
            </w:r>
          </w:p>
          <w:p>
            <w:pPr>
              <w:pStyle w:val="null3"/>
              <w:ind w:firstLine="482"/>
              <w:jc w:val="both"/>
            </w:pPr>
            <w:r>
              <w:rPr>
                <w:rFonts w:ascii="仿宋_GB2312" w:hAnsi="仿宋_GB2312" w:cs="仿宋_GB2312" w:eastAsia="仿宋_GB2312"/>
                <w:sz w:val="24"/>
              </w:rPr>
              <w:t>渭南市</w:t>
            </w:r>
            <w:r>
              <w:rPr>
                <w:rFonts w:ascii="仿宋_GB2312" w:hAnsi="仿宋_GB2312" w:cs="仿宋_GB2312" w:eastAsia="仿宋_GB2312"/>
                <w:sz w:val="24"/>
              </w:rPr>
              <w:t>文化艺术中心</w:t>
            </w:r>
            <w:r>
              <w:rPr>
                <w:rFonts w:ascii="仿宋_GB2312" w:hAnsi="仿宋_GB2312" w:cs="仿宋_GB2312" w:eastAsia="仿宋_GB2312"/>
                <w:sz w:val="24"/>
              </w:rPr>
              <w:t>非</w:t>
            </w:r>
            <w:r>
              <w:rPr>
                <w:rFonts w:ascii="仿宋_GB2312" w:hAnsi="仿宋_GB2312" w:cs="仿宋_GB2312" w:eastAsia="仿宋_GB2312"/>
                <w:sz w:val="24"/>
              </w:rPr>
              <w:t>物质文化遗产</w:t>
            </w:r>
            <w:r>
              <w:rPr>
                <w:rFonts w:ascii="仿宋_GB2312" w:hAnsi="仿宋_GB2312" w:cs="仿宋_GB2312" w:eastAsia="仿宋_GB2312"/>
                <w:sz w:val="24"/>
              </w:rPr>
              <w:t>展示传习馆</w:t>
            </w:r>
            <w:r>
              <w:rPr>
                <w:rFonts w:ascii="仿宋_GB2312" w:hAnsi="仿宋_GB2312" w:cs="仿宋_GB2312" w:eastAsia="仿宋_GB2312"/>
                <w:sz w:val="24"/>
              </w:rPr>
              <w:t>基础设施改建项目，包括包括室外导视牌，，玻璃逃生</w:t>
            </w:r>
            <w:r>
              <w:rPr>
                <w:rFonts w:ascii="仿宋_GB2312" w:hAnsi="仿宋_GB2312" w:cs="仿宋_GB2312" w:eastAsia="仿宋_GB2312"/>
                <w:sz w:val="24"/>
              </w:rPr>
              <w:t>门</w:t>
            </w:r>
            <w:r>
              <w:rPr>
                <w:rFonts w:ascii="仿宋_GB2312" w:hAnsi="仿宋_GB2312" w:cs="仿宋_GB2312" w:eastAsia="仿宋_GB2312"/>
                <w:sz w:val="24"/>
              </w:rPr>
              <w:t>等、一层提升大厅整体的文化氛围、二层非遗美食展厅、三楼馆内动线调整改造。</w:t>
            </w:r>
          </w:p>
          <w:p>
            <w:pPr>
              <w:pStyle w:val="null3"/>
              <w:ind w:firstLine="482"/>
              <w:jc w:val="both"/>
            </w:pPr>
            <w:r>
              <w:rPr>
                <w:rFonts w:ascii="仿宋_GB2312" w:hAnsi="仿宋_GB2312" w:cs="仿宋_GB2312" w:eastAsia="仿宋_GB2312"/>
                <w:sz w:val="24"/>
                <w:b/>
              </w:rPr>
              <w:t>四、技术要求</w:t>
            </w:r>
          </w:p>
          <w:p>
            <w:pPr>
              <w:pStyle w:val="null3"/>
              <w:ind w:firstLine="480"/>
              <w:jc w:val="both"/>
            </w:pPr>
            <w:r>
              <w:rPr>
                <w:rFonts w:ascii="仿宋_GB2312" w:hAnsi="仿宋_GB2312" w:cs="仿宋_GB2312" w:eastAsia="仿宋_GB2312"/>
                <w:sz w:val="24"/>
              </w:rPr>
              <w:t>1.空间设计要求</w:t>
            </w:r>
          </w:p>
          <w:p>
            <w:pPr>
              <w:pStyle w:val="null3"/>
              <w:ind w:firstLine="480"/>
              <w:jc w:val="both"/>
            </w:pPr>
            <w:r>
              <w:rPr>
                <w:rFonts w:ascii="仿宋_GB2312" w:hAnsi="仿宋_GB2312" w:cs="仿宋_GB2312" w:eastAsia="仿宋_GB2312"/>
                <w:sz w:val="24"/>
              </w:rPr>
              <w:t>1.1结合功能要求设计主要版块主题主线，以简洁新颖的装修风格、厚重历史的布展方式，营造具有强烈艺术感染力的环境。</w:t>
            </w:r>
          </w:p>
          <w:p>
            <w:pPr>
              <w:pStyle w:val="null3"/>
              <w:ind w:firstLine="480"/>
              <w:jc w:val="both"/>
            </w:pPr>
            <w:r>
              <w:rPr>
                <w:rFonts w:ascii="仿宋_GB2312" w:hAnsi="仿宋_GB2312" w:cs="仿宋_GB2312" w:eastAsia="仿宋_GB2312"/>
                <w:sz w:val="24"/>
              </w:rPr>
              <w:t>1.2方案设计时，充分考虑展馆功能布局、参观流线组织等问题，突出功能区的实用功能。具体设计原则如下：经济实用，厚重大气原则。应充分考虑维护费用及运营经济成本控制。</w:t>
            </w:r>
          </w:p>
          <w:p>
            <w:pPr>
              <w:pStyle w:val="null3"/>
              <w:ind w:firstLine="480"/>
              <w:jc w:val="both"/>
            </w:pPr>
            <w:r>
              <w:rPr>
                <w:rFonts w:ascii="仿宋_GB2312" w:hAnsi="仿宋_GB2312" w:cs="仿宋_GB2312" w:eastAsia="仿宋_GB2312"/>
                <w:sz w:val="24"/>
              </w:rPr>
              <w:t>1.3设计文件应内容齐全、表述清晰、编制规范。透视效果图设计应依据原始建筑尺寸真实表现空间体量，不得夸大空间尺度。</w:t>
            </w:r>
          </w:p>
          <w:p>
            <w:pPr>
              <w:pStyle w:val="null3"/>
              <w:ind w:firstLine="480"/>
              <w:jc w:val="both"/>
            </w:pPr>
            <w:r>
              <w:rPr>
                <w:rFonts w:ascii="仿宋_GB2312" w:hAnsi="仿宋_GB2312" w:cs="仿宋_GB2312" w:eastAsia="仿宋_GB2312"/>
                <w:sz w:val="24"/>
              </w:rPr>
              <w:t>2.施工技术要求</w:t>
            </w:r>
          </w:p>
          <w:p>
            <w:pPr>
              <w:pStyle w:val="null3"/>
              <w:ind w:firstLine="480"/>
              <w:jc w:val="both"/>
            </w:pPr>
            <w:r>
              <w:rPr>
                <w:rFonts w:ascii="仿宋_GB2312" w:hAnsi="仿宋_GB2312" w:cs="仿宋_GB2312" w:eastAsia="仿宋_GB2312"/>
                <w:sz w:val="24"/>
              </w:rPr>
              <w:t>本项目的设计、施工、安装、调试、验收除了应符合本技术规范要求及本技术规范所应用的标准和规范的相应要求外，还应遵照适用的最新版中国国家标准、部颁标准及地区规定和标准。以下规定和标准中的条例相互之间如有不一致时，本技术标准选取要求高的条目。</w:t>
            </w:r>
          </w:p>
          <w:p>
            <w:pPr>
              <w:pStyle w:val="null3"/>
              <w:ind w:firstLine="480"/>
              <w:jc w:val="both"/>
            </w:pPr>
            <w:r>
              <w:rPr>
                <w:rFonts w:ascii="仿宋_GB2312" w:hAnsi="仿宋_GB2312" w:cs="仿宋_GB2312" w:eastAsia="仿宋_GB2312"/>
                <w:sz w:val="24"/>
              </w:rPr>
              <w:t>3、项目建设依据</w:t>
            </w:r>
          </w:p>
          <w:p>
            <w:pPr>
              <w:pStyle w:val="null3"/>
              <w:ind w:firstLine="480"/>
              <w:jc w:val="both"/>
            </w:pPr>
            <w:r>
              <w:rPr>
                <w:rFonts w:ascii="仿宋_GB2312" w:hAnsi="仿宋_GB2312" w:cs="仿宋_GB2312" w:eastAsia="仿宋_GB2312"/>
                <w:sz w:val="24"/>
              </w:rPr>
              <w:t>《中共中央关于制定国民经济和社会发展第十四个五年规划和二〇三五年远景目标的建议》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“十四五”文化和旅游发展规划》</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“十四五”公共文化服务体系建设规划》</w:t>
            </w:r>
          </w:p>
          <w:p>
            <w:pPr>
              <w:pStyle w:val="null3"/>
              <w:ind w:firstLine="480"/>
              <w:jc w:val="both"/>
            </w:pPr>
            <w:r>
              <w:rPr>
                <w:rFonts w:ascii="仿宋_GB2312" w:hAnsi="仿宋_GB2312" w:cs="仿宋_GB2312" w:eastAsia="仿宋_GB2312"/>
                <w:sz w:val="24"/>
              </w:rPr>
              <w:t>《渭南市</w:t>
            </w:r>
            <w:r>
              <w:rPr>
                <w:rFonts w:ascii="仿宋_GB2312" w:hAnsi="仿宋_GB2312" w:cs="仿宋_GB2312" w:eastAsia="仿宋_GB2312"/>
                <w:sz w:val="24"/>
              </w:rPr>
              <w:t>“十四五”文化旅游融合发展规划》</w:t>
            </w:r>
          </w:p>
          <w:p>
            <w:pPr>
              <w:pStyle w:val="null3"/>
              <w:ind w:firstLine="480"/>
              <w:jc w:val="both"/>
            </w:pPr>
            <w:r>
              <w:rPr>
                <w:rFonts w:ascii="仿宋_GB2312" w:hAnsi="仿宋_GB2312" w:cs="仿宋_GB2312" w:eastAsia="仿宋_GB2312"/>
                <w:sz w:val="24"/>
              </w:rPr>
              <w:t>《关于进一步加强非物质文化遗产保护工作的意见》</w:t>
            </w:r>
            <w:r>
              <w:rPr>
                <w:rFonts w:ascii="仿宋_GB2312" w:hAnsi="仿宋_GB2312" w:cs="仿宋_GB2312" w:eastAsia="仿宋_GB2312"/>
                <w:sz w:val="24"/>
              </w:rPr>
              <w:t>Ø</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“十四五”非物质文化遗产保护规划》</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.方案确认</w:t>
            </w:r>
          </w:p>
          <w:p>
            <w:pPr>
              <w:pStyle w:val="null3"/>
              <w:ind w:firstLine="480"/>
              <w:jc w:val="both"/>
            </w:pPr>
            <w:r>
              <w:rPr>
                <w:rFonts w:ascii="仿宋_GB2312" w:hAnsi="仿宋_GB2312" w:cs="仿宋_GB2312" w:eastAsia="仿宋_GB2312"/>
                <w:sz w:val="24"/>
              </w:rPr>
              <w:t>装饰装修（设计及施工改造方案、材料清单等）、展示内容（含展陈内容大纲编辑、解说词编辑、展陈内容编辑等）等由成交单位负责，在相关方案完成设计后，需提交采购单位审核，采购单位同意后，组织相关部门召开评审会议，经评审通过后方可实施。</w:t>
            </w:r>
            <w:r>
              <w:br/>
            </w:r>
            <w:r>
              <w:rPr>
                <w:rFonts w:ascii="仿宋_GB2312" w:hAnsi="仿宋_GB2312" w:cs="仿宋_GB2312" w:eastAsia="仿宋_GB2312"/>
                <w:sz w:val="24"/>
              </w:rPr>
              <w:t xml:space="preserve">   </w:t>
            </w:r>
            <w:r>
              <w:rPr>
                <w:rFonts w:ascii="仿宋_GB2312" w:hAnsi="仿宋_GB2312" w:cs="仿宋_GB2312" w:eastAsia="仿宋_GB2312"/>
                <w:sz w:val="24"/>
              </w:rPr>
              <w:t>设计及施工方案中要求的材料、实物样板、图纸、图片，以及分项工程等，施工前必须先打样送审，经采购单位组织相关部门验收，确认合格后方可大面积展开施工。</w:t>
            </w:r>
          </w:p>
          <w:p>
            <w:pPr>
              <w:pStyle w:val="null3"/>
              <w:ind w:firstLine="480"/>
              <w:jc w:val="both"/>
            </w:pPr>
            <w:r>
              <w:rPr>
                <w:rFonts w:ascii="仿宋_GB2312" w:hAnsi="仿宋_GB2312" w:cs="仿宋_GB2312" w:eastAsia="仿宋_GB2312"/>
                <w:sz w:val="24"/>
              </w:rPr>
              <w:t>4.服务要求</w:t>
            </w:r>
          </w:p>
          <w:p>
            <w:pPr>
              <w:pStyle w:val="null3"/>
              <w:ind w:firstLine="480"/>
              <w:jc w:val="both"/>
            </w:pPr>
            <w:r>
              <w:rPr>
                <w:rFonts w:ascii="仿宋_GB2312" w:hAnsi="仿宋_GB2312" w:cs="仿宋_GB2312" w:eastAsia="仿宋_GB2312"/>
                <w:sz w:val="24"/>
              </w:rPr>
              <w:t>4.1根据需要本项目</w:t>
            </w:r>
            <w:r>
              <w:rPr>
                <w:rFonts w:ascii="仿宋_GB2312" w:hAnsi="仿宋_GB2312" w:cs="仿宋_GB2312" w:eastAsia="仿宋_GB2312"/>
                <w:sz w:val="24"/>
              </w:rPr>
              <w:t>实施</w:t>
            </w:r>
            <w:r>
              <w:rPr>
                <w:rFonts w:ascii="仿宋_GB2312" w:hAnsi="仿宋_GB2312" w:cs="仿宋_GB2312" w:eastAsia="仿宋_GB2312"/>
                <w:sz w:val="24"/>
              </w:rPr>
              <w:t>期间须提供</w:t>
            </w:r>
            <w:r>
              <w:rPr>
                <w:rFonts w:ascii="仿宋_GB2312" w:hAnsi="仿宋_GB2312" w:cs="仿宋_GB2312" w:eastAsia="仿宋_GB2312"/>
                <w:sz w:val="24"/>
              </w:rPr>
              <w:t>3-5人驻场服务。</w:t>
            </w:r>
          </w:p>
          <w:p>
            <w:pPr>
              <w:pStyle w:val="null3"/>
              <w:ind w:firstLine="480"/>
              <w:jc w:val="both"/>
            </w:pPr>
            <w:r>
              <w:rPr>
                <w:rFonts w:ascii="仿宋_GB2312" w:hAnsi="仿宋_GB2312" w:cs="仿宋_GB2312" w:eastAsia="仿宋_GB2312"/>
                <w:sz w:val="24"/>
              </w:rPr>
              <w:t>4.2提供优质的售后服务，应在2小时内响应，24小时内到位消障。</w:t>
            </w:r>
          </w:p>
          <w:p>
            <w:pPr>
              <w:pStyle w:val="null3"/>
              <w:ind w:firstLine="480"/>
              <w:jc w:val="both"/>
            </w:pPr>
            <w:r>
              <w:rPr>
                <w:rFonts w:ascii="仿宋_GB2312" w:hAnsi="仿宋_GB2312" w:cs="仿宋_GB2312" w:eastAsia="仿宋_GB2312"/>
                <w:sz w:val="24"/>
              </w:rPr>
              <w:t>4.3</w:t>
            </w:r>
            <w:r>
              <w:rPr>
                <w:rFonts w:ascii="仿宋_GB2312" w:hAnsi="仿宋_GB2312" w:cs="仿宋_GB2312" w:eastAsia="仿宋_GB2312"/>
                <w:sz w:val="24"/>
              </w:rPr>
              <w:t>施工期间</w:t>
            </w:r>
            <w:r>
              <w:rPr>
                <w:rFonts w:ascii="仿宋_GB2312" w:hAnsi="仿宋_GB2312" w:cs="仿宋_GB2312" w:eastAsia="仿宋_GB2312"/>
                <w:sz w:val="24"/>
              </w:rPr>
              <w:t>，设备若发生故障（因用户原因产生的故障及火灾、自燃火灾、地震、山洪等天灾则不在此保修范围内），所需更换的零配件负责更换。</w:t>
            </w:r>
          </w:p>
          <w:p>
            <w:pPr>
              <w:pStyle w:val="null3"/>
              <w:ind w:firstLine="482"/>
              <w:jc w:val="both"/>
            </w:pPr>
            <w:r>
              <w:rPr>
                <w:rFonts w:ascii="仿宋_GB2312" w:hAnsi="仿宋_GB2312" w:cs="仿宋_GB2312" w:eastAsia="仿宋_GB2312"/>
                <w:sz w:val="24"/>
                <w:b/>
              </w:rPr>
              <w:t>五、商务要求</w:t>
            </w:r>
          </w:p>
          <w:p>
            <w:pPr>
              <w:pStyle w:val="null3"/>
              <w:ind w:firstLine="480"/>
              <w:jc w:val="both"/>
            </w:pPr>
            <w:r>
              <w:rPr>
                <w:rFonts w:ascii="仿宋_GB2312" w:hAnsi="仿宋_GB2312" w:cs="仿宋_GB2312" w:eastAsia="仿宋_GB2312"/>
                <w:sz w:val="24"/>
              </w:rPr>
              <w:t>1.服务期限：自合同签订之日起</w:t>
            </w:r>
            <w:r>
              <w:rPr>
                <w:rFonts w:ascii="仿宋_GB2312" w:hAnsi="仿宋_GB2312" w:cs="仿宋_GB2312" w:eastAsia="仿宋_GB2312"/>
                <w:sz w:val="24"/>
              </w:rPr>
              <w:t>90日历天</w:t>
            </w:r>
          </w:p>
          <w:p>
            <w:pPr>
              <w:pStyle w:val="null3"/>
              <w:ind w:firstLine="480"/>
              <w:jc w:val="both"/>
            </w:pPr>
            <w:r>
              <w:rPr>
                <w:rFonts w:ascii="仿宋_GB2312" w:hAnsi="仿宋_GB2312" w:cs="仿宋_GB2312" w:eastAsia="仿宋_GB2312"/>
                <w:sz w:val="24"/>
              </w:rPr>
              <w:t>2.质量要求：符合国家标准、行业标准以及现行技术规范要求达到合格标准</w:t>
            </w:r>
          </w:p>
          <w:p>
            <w:pPr>
              <w:pStyle w:val="null3"/>
              <w:ind w:firstLine="480"/>
              <w:jc w:val="both"/>
            </w:pPr>
            <w:r>
              <w:rPr>
                <w:rFonts w:ascii="仿宋_GB2312" w:hAnsi="仿宋_GB2312" w:cs="仿宋_GB2312" w:eastAsia="仿宋_GB2312"/>
                <w:sz w:val="24"/>
              </w:rPr>
              <w:t>3.保修期：</w:t>
            </w:r>
            <w:r>
              <w:rPr>
                <w:rFonts w:ascii="仿宋_GB2312" w:hAnsi="仿宋_GB2312" w:cs="仿宋_GB2312" w:eastAsia="仿宋_GB2312"/>
                <w:sz w:val="24"/>
              </w:rPr>
              <w:t>验收合格后</w:t>
            </w:r>
            <w:r>
              <w:rPr>
                <w:rFonts w:ascii="仿宋_GB2312" w:hAnsi="仿宋_GB2312" w:cs="仿宋_GB2312" w:eastAsia="仿宋_GB2312"/>
                <w:sz w:val="24"/>
              </w:rPr>
              <w:t>1年</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4.付款方式：合同签订后，支付合同总价款的</w:t>
            </w:r>
            <w:r>
              <w:rPr>
                <w:rFonts w:ascii="仿宋_GB2312" w:hAnsi="仿宋_GB2312" w:cs="仿宋_GB2312" w:eastAsia="仿宋_GB2312"/>
                <w:sz w:val="24"/>
              </w:rPr>
              <w:t>60</w:t>
            </w:r>
            <w:r>
              <w:rPr>
                <w:rFonts w:ascii="仿宋_GB2312" w:hAnsi="仿宋_GB2312" w:cs="仿宋_GB2312" w:eastAsia="仿宋_GB2312"/>
                <w:sz w:val="24"/>
              </w:rPr>
              <w:t>%；</w:t>
            </w:r>
            <w:r>
              <w:rPr>
                <w:rFonts w:ascii="仿宋_GB2312" w:hAnsi="仿宋_GB2312" w:cs="仿宋_GB2312" w:eastAsia="仿宋_GB2312"/>
                <w:sz w:val="24"/>
              </w:rPr>
              <w:t>工程全部完成验收合格后</w:t>
            </w:r>
            <w:r>
              <w:rPr>
                <w:rFonts w:ascii="仿宋_GB2312" w:hAnsi="仿宋_GB2312" w:cs="仿宋_GB2312" w:eastAsia="仿宋_GB2312"/>
                <w:sz w:val="24"/>
              </w:rPr>
              <w:t>，支付合同总价款的</w:t>
            </w:r>
            <w:r>
              <w:rPr>
                <w:rFonts w:ascii="仿宋_GB2312" w:hAnsi="仿宋_GB2312" w:cs="仿宋_GB2312" w:eastAsia="仿宋_GB2312"/>
                <w:sz w:val="24"/>
              </w:rPr>
              <w:t>30</w:t>
            </w:r>
            <w:r>
              <w:rPr>
                <w:rFonts w:ascii="仿宋_GB2312" w:hAnsi="仿宋_GB2312" w:cs="仿宋_GB2312" w:eastAsia="仿宋_GB2312"/>
                <w:sz w:val="24"/>
              </w:rPr>
              <w:t>%；</w:t>
            </w:r>
            <w:r>
              <w:rPr>
                <w:rFonts w:ascii="仿宋_GB2312" w:hAnsi="仿宋_GB2312" w:cs="仿宋_GB2312" w:eastAsia="仿宋_GB2312"/>
                <w:sz w:val="24"/>
              </w:rPr>
              <w:t>工程审计完成后</w:t>
            </w:r>
            <w:r>
              <w:rPr>
                <w:rFonts w:ascii="仿宋_GB2312" w:hAnsi="仿宋_GB2312" w:cs="仿宋_GB2312" w:eastAsia="仿宋_GB2312"/>
                <w:sz w:val="24"/>
              </w:rPr>
              <w:t>，</w:t>
            </w:r>
            <w:r>
              <w:rPr>
                <w:rFonts w:ascii="仿宋_GB2312" w:hAnsi="仿宋_GB2312" w:cs="仿宋_GB2312" w:eastAsia="仿宋_GB2312"/>
                <w:sz w:val="24"/>
              </w:rPr>
              <w:t>支付至审定金额的</w:t>
            </w:r>
            <w:r>
              <w:rPr>
                <w:rFonts w:ascii="仿宋_GB2312" w:hAnsi="仿宋_GB2312" w:cs="仿宋_GB2312" w:eastAsia="仿宋_GB2312"/>
                <w:sz w:val="24"/>
              </w:rPr>
              <w:t>100%。成交</w:t>
            </w:r>
            <w:r>
              <w:rPr>
                <w:rFonts w:ascii="仿宋_GB2312" w:hAnsi="仿宋_GB2312" w:cs="仿宋_GB2312" w:eastAsia="仿宋_GB2312"/>
                <w:sz w:val="24"/>
              </w:rPr>
              <w:t>方负责在付款前按</w:t>
            </w:r>
            <w:r>
              <w:rPr>
                <w:rFonts w:ascii="仿宋_GB2312" w:hAnsi="仿宋_GB2312" w:cs="仿宋_GB2312" w:eastAsia="仿宋_GB2312"/>
                <w:sz w:val="24"/>
              </w:rPr>
              <w:t>采购人</w:t>
            </w:r>
            <w:r>
              <w:rPr>
                <w:rFonts w:ascii="仿宋_GB2312" w:hAnsi="仿宋_GB2312" w:cs="仿宋_GB2312" w:eastAsia="仿宋_GB2312"/>
                <w:sz w:val="24"/>
              </w:rPr>
              <w:t>要求提供增值税发票，甲方见票付款。</w:t>
            </w:r>
          </w:p>
          <w:p>
            <w:pPr>
              <w:pStyle w:val="null3"/>
              <w:ind w:firstLine="480"/>
              <w:jc w:val="both"/>
            </w:pPr>
            <w:r>
              <w:rPr>
                <w:rFonts w:ascii="仿宋_GB2312" w:hAnsi="仿宋_GB2312" w:cs="仿宋_GB2312" w:eastAsia="仿宋_GB2312"/>
              </w:rPr>
              <w:t xml:space="preserve"> </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符合国家标准、行业标准以及现行技术规范要求达到合格标准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详见采购文件要求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成交供应商应保证采购人在使用所涉技术方案或其任何一部分技术资料时，免受第三方提出侵犯其专利权、商标权或工业设计权等知识产权的起诉。如果发生诉讼，所有费用和责任由成交供应商承担。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供应商类似项目业绩一览表 响应函 资格证明文件.docx 陕西省政府采购供应商拒绝政府采购领域商业贿赂承诺书.docx 报价明细表.docx 磋商方案.docx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提供2023或2024年度财务审计报告（成立时间至提交响应文件截止时间不足一年的可提供成立后任意时段的资产负债表）或其基本存款账户开户银行出具的开标前六个月内资信证明及基本存款账户的开户证明；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供应商应具有独立承担民事责任的能力且具备向采购人提供相关服务的企业法人或者自然人,企业法人应提供统一社会信用代码的营业执照；自然人提供身份证明文件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法定代表人或授权委托代理人</w:t>
            </w:r>
          </w:p>
        </w:tc>
        <w:tc>
          <w:tcPr>
            <w:tcW w:type="dxa" w:w="3322"/>
          </w:tcPr>
          <w:p>
            <w:pPr>
              <w:pStyle w:val="null3"/>
            </w:pPr>
            <w:r>
              <w:rPr>
                <w:rFonts w:ascii="仿宋_GB2312" w:hAnsi="仿宋_GB2312" w:cs="仿宋_GB2312" w:eastAsia="仿宋_GB2312"/>
              </w:rPr>
              <w:t>供应商应授权合法的人员参加竞争性磋商全过程，其中法定代表人直接参加竞争性磋商的，须出具法定代表人身份证明书及身份证，并与营业执照上信息一致。法定代表人授权代表参加竞争性磋商的，须出具法定代表人授权书、授权代表身份证及一年内在本单位连续三个月的社保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税收缴纳证明和社会保障资金缴纳证明</w:t>
            </w:r>
          </w:p>
        </w:tc>
        <w:tc>
          <w:tcPr>
            <w:tcW w:type="dxa" w:w="3322"/>
          </w:tcPr>
          <w:p>
            <w:pPr>
              <w:pStyle w:val="null3"/>
            </w:pPr>
            <w:r>
              <w:rPr>
                <w:rFonts w:ascii="仿宋_GB2312" w:hAnsi="仿宋_GB2312" w:cs="仿宋_GB2312" w:eastAsia="仿宋_GB2312"/>
              </w:rPr>
              <w:t>①税收缴纳证明：提供截止至开标时间前一年内已缴纳的至少一个月的纳税证明或完税证明，依法免税的单位应提供相关证明材料；②社会保障资金缴纳证明：提供截止至开标时间前一年内至今至少一个月的社会保障资金缴存单据及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提供2023或2024年度财务审计报告（成立时间至提交响应文件截止时间不足一年的可提供成立后任意时段的资产负债表）或其基本存款账户开户银行出具的开标前六个月内资信证明及基本存款账户的开户证明；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提供具有履行合同所必须的设备和专业技术能力的承诺书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供应商应具有建设行政主管部门颁发的建筑行业 (建筑工程) 设计乙级及以上（含乙级）或建筑行业工程设计乙级及以上资质或工程设计综合甲级资质；供应商应同时具备建筑装修装饰工程专业承包二级及以上或建筑工程施工总承包三级及以上资质，且具备合格有效的安全生产许可证。（若为联合体投标，联合体应分别提供相关资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项目经理、施工负责人及设计负责人资格要求</w:t>
            </w:r>
          </w:p>
        </w:tc>
        <w:tc>
          <w:tcPr>
            <w:tcW w:type="dxa" w:w="3322"/>
          </w:tcPr>
          <w:p>
            <w:pPr>
              <w:pStyle w:val="null3"/>
            </w:pPr>
            <w:r>
              <w:rPr>
                <w:rFonts w:ascii="仿宋_GB2312" w:hAnsi="仿宋_GB2312" w:cs="仿宋_GB2312" w:eastAsia="仿宋_GB2312"/>
              </w:rPr>
              <w:t>供应商拟派项目经理须具备建筑工程专业二级及以上注册建造师资格及有效的安全生产考核B证，在本单位注册且无其他在建工程项目；拟派施工负责人具备建筑工程专业二级及以上注册建造师资格，具有有效的安全生产考核B证，在本单位注册且无在建工程；拟派设计负责人须具有相关专业中级及以上技术职称；（拟派项目经理与施工负责人或设计负责人可为同一人，但须满足相应岗位资格要求）。</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联合体投标应满足以下要求： ① 联合体协议中要载明联合体的牵头单位，并声明联合体各方的权利和义务、相关工作范围，本项目只接受由牵头人提交的网上申请，联合体参与方不允许更换； ② 联合体投标的，联合体成员个数最多不得超过 2 个。</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磋商响应文件上法定代表人或其授权代表人的签字或盖章齐全并加盖公章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只能有一个有效最终报价，不得提交选择性报价，且报价不超过采购预算金额。</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设计方案评审</w:t>
            </w:r>
          </w:p>
        </w:tc>
        <w:tc>
          <w:tcPr>
            <w:tcW w:type="dxa" w:w="2492"/>
          </w:tcPr>
          <w:p>
            <w:pPr>
              <w:pStyle w:val="null3"/>
            </w:pPr>
            <w:r>
              <w:rPr>
                <w:rFonts w:ascii="仿宋_GB2312" w:hAnsi="仿宋_GB2312" w:cs="仿宋_GB2312" w:eastAsia="仿宋_GB2312"/>
              </w:rPr>
              <w:t>评审内容（1）设计方案；(2)设计组织机构及人员配置充足且证件齐全；(3)设计方案总说明；（4)设计进度保证；(5)设计质量保证；（6)设计成本控制及新型材料的应用；(7)售后服务；(8)重难点分析； 评审标准: 1.完整性:响应全面，对评审内容中的各项要求有详细描述:2.可实施性:内容科学，步骤清晰、合理，可实施性强:3.针对性:能够紧扣项目实际情况，满足具体要求。 赋分标准(40分): ①每一项评审内容完全满足评审标准得5分; ②每一项评审内容，若存在不明确、不合理、不完整、针对性不强等方面，扣1.5分;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施工组织方案</w:t>
            </w:r>
          </w:p>
        </w:tc>
        <w:tc>
          <w:tcPr>
            <w:tcW w:type="dxa" w:w="2492"/>
          </w:tcPr>
          <w:p>
            <w:pPr>
              <w:pStyle w:val="null3"/>
            </w:pPr>
            <w:r>
              <w:rPr>
                <w:rFonts w:ascii="仿宋_GB2312" w:hAnsi="仿宋_GB2312" w:cs="仿宋_GB2312" w:eastAsia="仿宋_GB2312"/>
              </w:rPr>
              <w:t>评审内容1.工程估算； 2.项目经理及组织机构人员充足且证件齐全；3.施工组织及对成品的保护措施； 4.施工方法及技术措施； 5.施工工序 6.施工进度计划及工期保证措施； 7.工程质量保证措施； 8.材料采购、验收及储备； 9.安全防火措施； 10、文明、环保措施； 评审标准: 1.完整性:响应全面，对评审内容中的各项要求有详细描述:2.可实施性:内容科学，步骤清晰、合理，可实施性强;3.针对性:能够紧扣项目实际情况，满足具体要求。 赋分标准(20分): ①每一项评审内容完全满足评审标准得2分; ②每一项评审内容，若存在不明确、不合理、不完整、针对性不强等方面，扣0.5分; ③每一项评审内容不提供或完全背离评审标准得0分。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至今具有类似业绩，磋商响应文件中附有业绩证明材料，业绩以合同为依据，附合同复印件，每提供一个计2分，满分8分；供应商提供自2022年1月1日至今具有雕塑、艺术品设计、加工、制作等类似业绩，磋商响应文件中附有业绩证明材料，业绩以合同为依据，附合同复印件，每提供一个计2分，满分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 磋商报价得分=（磋商基准价/最终磋商报价）×价格权值（30%）×100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详见附件：报价明细表.docx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