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版本号：ZCSP-渭南市-2025-0071120250910001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东芝320排320层CT维保服务项目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ZCSP-渭南市-2025-00711</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东芝320排320层CT维保服务项目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东芝320排320层CT维保服务项目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东芝320排320层CT维保服务，维保服务范围：整机保修服务（含球管，探测器及原厂VITREA后处理工作站软、硬件，不含高压注射器、稳压电源等其他第三方设备）。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采购包1（东芝320排320层CT维保服务）：属于专门面向中小企业采购。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法人授权：法定代表人授权书（附法定代表人、被授权人身份证复印件）、被授权人身份证原件及被授权人2025年以来不少于3个月的养老保险证明（法定代表人直接参加投标，须提供法定代表人身份证明及身份证原件）；</w:t>
      </w:r>
    </w:p>
    <w:p>
      <w:pPr>
        <w:pStyle w:val="null3"/>
      </w:pPr>
      <w:r>
        <w:rPr>
          <w:rFonts w:ascii="仿宋_GB2312" w:hAnsi="仿宋_GB2312" w:cs="仿宋_GB2312" w:eastAsia="仿宋_GB2312"/>
        </w:rPr>
        <w:t>3、税收缴纳证明和社会保障资金缴纳证明：①税收缴纳证明：提供截止至磋商时间前一年内已缴纳的至少一个月的纳税证明或完税证明，依法免税的供应商应具有税务部门出具的证明文件；②社会保障资金缴纳证明:提供截止至磋商时间前一年内至今至少一个月的社会保障资金缴存单据或社保机构开具的社会保险参保缴费情况证明，依法不需要缴纳社会保障金的供应商，需具有社保部门出具的证明文件；</w:t>
      </w:r>
    </w:p>
    <w:p>
      <w:pPr>
        <w:pStyle w:val="null3"/>
      </w:pPr>
      <w:r>
        <w:rPr>
          <w:rFonts w:ascii="仿宋_GB2312" w:hAnsi="仿宋_GB2312" w:cs="仿宋_GB2312" w:eastAsia="仿宋_GB2312"/>
        </w:rPr>
        <w:t>4、财务状况报告：法人提供会计师事务所出具的完整的2024年度审计报告（成立时间至提交响应文件截止时间不足一年的可提供成立后任意时段的资产负债表)，或磋商前3个月内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5、提供具有履行合同所必须的设备和专业技术能力的承诺书：具有履行合同所必需的设备和专业技术能力的声明;</w:t>
      </w:r>
    </w:p>
    <w:p>
      <w:pPr>
        <w:pStyle w:val="null3"/>
      </w:pPr>
      <w:r>
        <w:rPr>
          <w:rFonts w:ascii="仿宋_GB2312" w:hAnsi="仿宋_GB2312" w:cs="仿宋_GB2312" w:eastAsia="仿宋_GB2312"/>
        </w:rPr>
        <w:t>6、提供参加本次政府采购活动前3年内在经营活动中没有重大违法记录的书面声明：提供参加政府采购活动前3年内在经营活动中没有重大违法记录的书面声明；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供应商信誉要求：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8、供应商关联关系：单位负责人为同一人或者存在直接控股、管理关系的不同供应商，不得参加同一合同项下的政府采购活动；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陕西省西安市碑林区西安市和平路108号佳腾大厦7楼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翟燕荣、孙东、宋治南、赵晗、朱颖华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029-87517633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开户名称：陕西省招标有限责任公司</w:t>
            </w:r>
          </w:p>
          <w:p>
            <w:pPr>
              <w:pStyle w:val="null3"/>
            </w:pPr>
            <w:r>
              <w:rPr>
                <w:rFonts w:ascii="仿宋_GB2312" w:hAnsi="仿宋_GB2312" w:cs="仿宋_GB2312" w:eastAsia="仿宋_GB2312"/>
              </w:rPr>
              <w:t>开户银行：中国民生银行股份有限公司西安雁塔路支行（备注：转账时附言“00711采购包1磋商保证金”）</w:t>
            </w:r>
          </w:p>
          <w:p>
            <w:pPr>
              <w:pStyle w:val="null3"/>
            </w:pPr>
            <w:r>
              <w:rPr>
                <w:rFonts w:ascii="仿宋_GB2312" w:hAnsi="仿宋_GB2312" w:cs="仿宋_GB2312" w:eastAsia="仿宋_GB2312"/>
              </w:rPr>
              <w:t>银行账号：9902001766572554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应向采购代理机构一次性交纳招标代理服务费。招标代理服务费收取按照国家计委颁布的《招标代理服务收费管理暂行办法》（计价格[2002]1980号）和（发改办价格[2003]857号）按收费标准计取。 收款账户如下：收款单位：陕西省招标有限责任公司 开户银行：招商银行西安朝阳门支行 银行账号：129904242010801。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地址：西安市和平路108号佳腾大厦7楼</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东芝320排320层CT维保服务，维保服务范围：整机保修服务（含球管，探测器及原厂VITREA后处理工作站软、硬件，不含高压注射器、稳压电源等其他第三方设备）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东芝320排320层CT维保服务项目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标的名称：东芝320排320层CT维保服务项目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标的名称：东芝320排320层CT维保  设备型号：Aquilion one TSX-301A。</w:t>
            </w:r>
          </w:p>
          <w:p>
            <w:pPr>
              <w:pStyle w:val="null3"/>
            </w:pPr>
            <w:r>
              <w:rPr>
                <w:rFonts w:ascii="仿宋_GB2312" w:hAnsi="仿宋_GB2312" w:cs="仿宋_GB2312" w:eastAsia="仿宋_GB2312"/>
              </w:rPr>
              <w:t>1、维保服务范围：</w:t>
            </w:r>
          </w:p>
          <w:p>
            <w:pPr>
              <w:pStyle w:val="null3"/>
              <w:jc w:val="both"/>
            </w:pPr>
            <w:r>
              <w:rPr>
                <w:rFonts w:ascii="仿宋_GB2312" w:hAnsi="仿宋_GB2312" w:cs="仿宋_GB2312" w:eastAsia="仿宋_GB2312"/>
              </w:rPr>
              <w:t>整机保修服务（含球管，探测器及原厂VITREA后处理工作站软、硬件，不含高压注射器、稳压电源等其他第三方设备）。</w:t>
            </w:r>
          </w:p>
          <w:p>
            <w:pPr>
              <w:pStyle w:val="null3"/>
            </w:pPr>
            <w:r>
              <w:rPr>
                <w:rFonts w:ascii="仿宋_GB2312" w:hAnsi="仿宋_GB2312" w:cs="仿宋_GB2312" w:eastAsia="仿宋_GB2312"/>
              </w:rPr>
              <w:t>保修期限：1年。</w:t>
            </w:r>
          </w:p>
          <w:p>
            <w:pPr>
              <w:pStyle w:val="null3"/>
            </w:pPr>
            <w:r>
              <w:rPr>
                <w:rFonts w:ascii="仿宋_GB2312" w:hAnsi="仿宋_GB2312" w:cs="仿宋_GB2312" w:eastAsia="仿宋_GB2312"/>
              </w:rPr>
              <w:t>2、技术服务要求：</w:t>
            </w:r>
          </w:p>
          <w:p>
            <w:pPr>
              <w:pStyle w:val="null3"/>
              <w:jc w:val="both"/>
            </w:pPr>
            <w:r>
              <w:rPr>
                <w:rFonts w:ascii="仿宋_GB2312" w:hAnsi="仿宋_GB2312" w:cs="仿宋_GB2312" w:eastAsia="仿宋_GB2312"/>
              </w:rPr>
              <w:t>（1）保证球管供应服务；提供原厂全新球管并提供该球管的注册证，提供进口报关单，相关的海关商检及报关手续，球管更换时必须同时更换配套的原厂全新高压电缆；</w:t>
            </w:r>
            <w:r>
              <w:rPr>
                <w:rFonts w:ascii="仿宋_GB2312" w:hAnsi="仿宋_GB2312" w:cs="仿宋_GB2312" w:eastAsia="仿宋_GB2312"/>
                <w:shd w:fill="FFFFFF" w:val="clear"/>
              </w:rPr>
              <w:t>球管型号：CXB-750E</w:t>
            </w:r>
            <w:r>
              <w:rPr>
                <w:rFonts w:ascii="仿宋_GB2312" w:hAnsi="仿宋_GB2312" w:cs="仿宋_GB2312" w:eastAsia="仿宋_GB2312"/>
              </w:rPr>
              <w:t>。质保期内，至少更换一支原厂全新球管及原厂全新高压电缆。</w:t>
            </w:r>
          </w:p>
          <w:p>
            <w:pPr>
              <w:pStyle w:val="null3"/>
              <w:jc w:val="both"/>
            </w:pPr>
            <w:r>
              <w:rPr>
                <w:rFonts w:ascii="仿宋_GB2312" w:hAnsi="仿宋_GB2312" w:cs="仿宋_GB2312" w:eastAsia="仿宋_GB2312"/>
              </w:rPr>
              <w:t>（2）乙方在服务期内需提供全天24小时技术电话支持(含周末及法定节假日)；</w:t>
            </w:r>
          </w:p>
          <w:p>
            <w:pPr>
              <w:pStyle w:val="null3"/>
              <w:jc w:val="both"/>
            </w:pPr>
            <w:r>
              <w:rPr>
                <w:rFonts w:ascii="仿宋_GB2312" w:hAnsi="仿宋_GB2312" w:cs="仿宋_GB2312" w:eastAsia="仿宋_GB2312"/>
              </w:rPr>
              <w:t>（3）响应时间：接到报修电话1小时内提供电话支持，若远程无法解决，须在12小时内到达现场进行维修，排除故障；如乙方未按照要求答复和处理问题，则视为乙方承认质量问题并承担由此而发生的一切费用；</w:t>
            </w:r>
          </w:p>
          <w:p>
            <w:pPr>
              <w:pStyle w:val="null3"/>
              <w:jc w:val="both"/>
            </w:pPr>
            <w:r>
              <w:rPr>
                <w:rFonts w:ascii="仿宋_GB2312" w:hAnsi="仿宋_GB2312" w:cs="仿宋_GB2312" w:eastAsia="仿宋_GB2312"/>
              </w:rPr>
              <w:t>（4）开机率要求：≥95%，以365天计算，即每年因设备故障原因造成的停机不超过18个日历日，如未达到，需通过 1:5延长服务期补足，即以超出约定停机天数的5倍天数补足；</w:t>
            </w:r>
          </w:p>
          <w:p>
            <w:pPr>
              <w:pStyle w:val="null3"/>
              <w:jc w:val="both"/>
            </w:pPr>
            <w:r>
              <w:rPr>
                <w:rFonts w:ascii="仿宋_GB2312" w:hAnsi="仿宋_GB2312" w:cs="仿宋_GB2312" w:eastAsia="仿宋_GB2312"/>
              </w:rPr>
              <w:t>（5）专职工程师：≥2 名，并提供6个月内社保证明；</w:t>
            </w:r>
          </w:p>
          <w:p>
            <w:pPr>
              <w:pStyle w:val="null3"/>
              <w:jc w:val="both"/>
            </w:pPr>
            <w:r>
              <w:rPr>
                <w:rFonts w:ascii="仿宋_GB2312" w:hAnsi="仿宋_GB2312" w:cs="仿宋_GB2312" w:eastAsia="仿宋_GB2312"/>
              </w:rPr>
              <w:t>（6）备件库：乙方在国内设有专业的备件库(提供证明材料），普通零配件到场时间≤24h，重大型配件到场时间≤72h；</w:t>
            </w:r>
          </w:p>
          <w:p>
            <w:pPr>
              <w:pStyle w:val="null3"/>
              <w:jc w:val="both"/>
            </w:pPr>
            <w:r>
              <w:rPr>
                <w:rFonts w:ascii="仿宋_GB2312" w:hAnsi="仿宋_GB2312" w:cs="仿宋_GB2312" w:eastAsia="仿宋_GB2312"/>
              </w:rPr>
              <w:t>（7）维修服务要求：配件损坏时，只换不修；</w:t>
            </w:r>
          </w:p>
          <w:p>
            <w:pPr>
              <w:pStyle w:val="null3"/>
              <w:jc w:val="both"/>
            </w:pPr>
            <w:r>
              <w:rPr>
                <w:rFonts w:ascii="仿宋_GB2312" w:hAnsi="仿宋_GB2312" w:cs="仿宋_GB2312" w:eastAsia="仿宋_GB2312"/>
              </w:rPr>
              <w:t>（8）服务期内，至少提供每季度一次，共至少4次定期维护，每次维护保养完成后，须在五个工作日内向甲方提供书面维护保养报告，定期的维修服务检测包括但不限于设备清洁、性能测试及校准、必要的机械或电气的检查、系统基本情况检查、图像质量检查等，以及非紧急性质的补救性维修，定期对设备的数据进行备份，确保系统能按照厂商的产品规格运行的标准来维修，并进行现场调试，保证设备顺利运行和解决项目实施过程出现的突发事件维修；</w:t>
            </w:r>
          </w:p>
          <w:p>
            <w:pPr>
              <w:pStyle w:val="null3"/>
              <w:jc w:val="both"/>
            </w:pPr>
            <w:r>
              <w:rPr>
                <w:rFonts w:ascii="仿宋_GB2312" w:hAnsi="仿宋_GB2312" w:cs="仿宋_GB2312" w:eastAsia="仿宋_GB2312"/>
              </w:rPr>
              <w:t>（9）服务期内，若维修更换配件时引发CT 机其他新故障时，由乙方自行解决故障及配件，费用由乙方承担；</w:t>
            </w:r>
          </w:p>
          <w:p>
            <w:pPr>
              <w:pStyle w:val="null3"/>
              <w:jc w:val="both"/>
            </w:pPr>
            <w:r>
              <w:rPr>
                <w:rFonts w:ascii="仿宋_GB2312" w:hAnsi="仿宋_GB2312" w:cs="仿宋_GB2312" w:eastAsia="仿宋_GB2312"/>
              </w:rPr>
              <w:t>（10）乙方在保修期内负责向甲方提供共4人次为期一周的临床应用交流或工程师维修胜任力培训。主要培训内容包括但不限于为日常使用操作、保养与管理、常见故障的排除、紧急情况的处理等，并承担所有培训费用（含培训教材费、交通费、食宿费等），培训目标为使用人员能够独立、熟练地完成操作，并进行简单故障排查处理。</w:t>
            </w:r>
          </w:p>
          <w:p>
            <w:pPr>
              <w:pStyle w:val="null3"/>
            </w:pPr>
            <w:r>
              <w:rPr>
                <w:rFonts w:ascii="仿宋_GB2312" w:hAnsi="仿宋_GB2312" w:cs="仿宋_GB2312" w:eastAsia="仿宋_GB2312"/>
              </w:rPr>
              <w:t>（11）服务期间及质保期内更换的配件为原厂全新产品，维修后的技术参数需达到原厂技术要求。服务期及质保期内因维修不到位或配件的一切质量问题原因造成的直接经济损失应全部由乙方自行负责。若乙方未按照规定的服务要求执行，甲方有权自行选择第三方进行维护和修理，所产生的全部费用由乙方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按甲方相关流程验收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合同签订后收到发票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11个月后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1、设备型号：Aquilion one TSX-301A。 2、本项目落实政府采购政策：（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 3、成交供应商领取成交通知书时，提交纸质磋商响应文件正本壹份、副本贰份、电子版叁份（U盘壹份注明单位名称）编辑目录和页码，内容和通过电子化交易平台实施的政府采购项目提交的磋商响应文件一致。纸质磋商响应文件正副本分别胶装（磋商响应文件建议采用双面打印）。 4、本项目为专门面向中小型企业采购项目。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法定代表人授权书（附法定代表人、被授权人身份证复印件）、被授权人身份证原件及被授权人2025年以来不少于3个月的养老保险证明（法定代表人直接参加投标，须提供法定代表人身份证明及身份证原件）；</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磋商时间前一年内已缴纳的至少一个月的纳税证明或完税证明，依法免税的供应商应具有税务部门出具的证明文件；②社会保障资金缴纳证明:提供截止至磋商时间前一年内至今至少一个月的社会保障资金缴存单据或社保机构开具的社会保险参保缴费情况证明，依法不需要缴纳社会保障金的供应商，需具有社保部门出具的证明文件；</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会计师事务所出具的完整的2024年度审计报告（成立时间至提交响应文件截止时间不足一年的可提供成立后任意时段的资产负债表)，或磋商前3个月内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提供具有履行合同所必须的设备和专业技术能力的承诺书</w:t>
            </w:r>
          </w:p>
        </w:tc>
        <w:tc>
          <w:tcPr>
            <w:tcW w:type="dxa" w:w="3322"/>
          </w:tcPr>
          <w:p>
            <w:pPr>
              <w:pStyle w:val="null3"/>
            </w:pPr>
            <w:r>
              <w:rPr>
                <w:rFonts w:ascii="仿宋_GB2312" w:hAnsi="仿宋_GB2312" w:cs="仿宋_GB2312" w:eastAsia="仿宋_GB2312"/>
              </w:rPr>
              <w:t>具有履行合同所必需的设备和专业技术能力的声明;</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响应文件封面 中小企业声明函 残疾人福利性单位声明函 服务内容及服务要求应答表 标的清单 报价表 商务应答表.docx 响应函 服务方案.docx 资格证明文件.docx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磋商报价不得超过最高限价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磋商保证金符合第二章供应商须知要求</w:t>
            </w:r>
          </w:p>
        </w:tc>
        <w:tc>
          <w:tcPr>
            <w:tcW w:type="dxa" w:w="1661"/>
          </w:tcPr>
          <w:p>
            <w:pPr>
              <w:pStyle w:val="null3"/>
            </w:pPr>
            <w:r>
              <w:rPr>
                <w:rFonts w:ascii="仿宋_GB2312" w:hAnsi="仿宋_GB2312" w:cs="仿宋_GB2312" w:eastAsia="仿宋_GB2312"/>
              </w:rPr>
              <w:t>响应文件封面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响应文件封面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没有出现法律法规或磋商文件明确规定的其他被视为“无效投标”的情形及未实质性响应磋商文件的情况</w:t>
            </w:r>
          </w:p>
        </w:tc>
        <w:tc>
          <w:tcPr>
            <w:tcW w:type="dxa" w:w="1661"/>
          </w:tcPr>
          <w:p>
            <w:pPr>
              <w:pStyle w:val="null3"/>
            </w:pPr>
            <w:r>
              <w:rPr>
                <w:rFonts w:ascii="仿宋_GB2312" w:hAnsi="仿宋_GB2312" w:cs="仿宋_GB2312" w:eastAsia="仿宋_GB2312"/>
              </w:rPr>
              <w:t>响应文件封面 中小企业声明函 残疾人福利性单位声明函 标的清单 服务内容及服务要求应答表 报价表 商务应答表.docx 响应函 资格证明文件.docx 供应商承诺书.docx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①检测维修方案 ②维护保养方案 ③配品配件的供货方案 2、评审标准 ①完整性：方案须全面，对评审内容中的各项要求有详细描述及说明； ②可实施性：切合本项目实际情况，实施步骤清晰、合理； ③针对性：方案能够紧扣项目实际情况，内容科学合理。 3、赋分标准 ①检测维修方案：每满足一项评审标准得1分，满分3分； ②维护保养方案：每满足一项评审标准得1分，满分3分； ③配品配件的供货方案：每满足一项评审标准得1分，满分3分。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②便利性：维修服务机构便利性高，在陕西省内设有专业维修点，能快速到场检测维修。 ③专业性：人员相关岗位经验丰富，具有能够维修本设备的专业资质，切合本项目实际情况。 3、赋分标准 每完全满足一项评审标准得5分，满分15分。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3、赋分标准每完全满足一项评审标准得3分，满分6分。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维修所需仪器及工具的相关资料</w:t>
            </w:r>
          </w:p>
        </w:tc>
        <w:tc>
          <w:tcPr>
            <w:tcW w:type="dxa" w:w="2492"/>
          </w:tcPr>
          <w:p>
            <w:pPr>
              <w:pStyle w:val="null3"/>
            </w:pPr>
            <w:r>
              <w:rPr>
                <w:rFonts w:ascii="仿宋_GB2312" w:hAnsi="仿宋_GB2312" w:cs="仿宋_GB2312" w:eastAsia="仿宋_GB2312"/>
              </w:rPr>
              <w:t>1、评审内容 提供本项目维修所需仪器及工具的相关资料。 2、评审标准 ①完整性：资料须全面，对评审内容中的各项要求有详细描述及说明； ②针对性：资料准确，符合采购需求； 3、赋分标准 每完全满足一项评审标准得3分，满分6分。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零备件储备</w:t>
            </w:r>
          </w:p>
        </w:tc>
        <w:tc>
          <w:tcPr>
            <w:tcW w:type="dxa" w:w="2492"/>
          </w:tcPr>
          <w:p>
            <w:pPr>
              <w:pStyle w:val="null3"/>
            </w:pPr>
            <w:r>
              <w:rPr>
                <w:rFonts w:ascii="仿宋_GB2312" w:hAnsi="仿宋_GB2312" w:cs="仿宋_GB2312" w:eastAsia="仿宋_GB2312"/>
              </w:rPr>
              <w:t>1、国内具有至少一处零备件库，并提供备件库及备件储备情况证明。 2、评审标准 ①提供“所有更换的零部件为原厂全新备件承诺书”得5分; ②提供的零备件种类齐全，完全满足要求计5分;提供的零备件种类不够全面，计2分(含);提供的备件难以保证维修需求的计0(含)分; ③提供备件库的地址、场地使用或租赁协议等证明材料。提供1处得1分，最多得3分。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供应商提供项目实施过程中的质量保障措施，内容包括： ①质量目标管理制度； ②响应时间保障措施； ③工作资料保障措施。 2、评审标准 ①完整性：必须全面，对评审内容中的各项要求有详细描述； ②可实施性：切合本项目实际情况，提出步骤清晰、合理的内容； ③针对性：方案能紧扣项目实际情况，内容科学合理。 3、赋分标准 ①质量目标管理制度：每完全满足一个评审标准得1分，满分3分； ②响应时间保障措施：每完全满足一个评审标准得1分，满分3分； ③工作资料保障措施：每完全满足一个评审标准得1分，满分3分。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①培训计划：每满足一项评审标准得2分，满分6分； ②培训方式及内容：每满足一项评审标准得2分，满分6分。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②服务体系及响应时间：每满足一项评审标准得1分，满分3分。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提供2023年9月1日以来供应商或厂家授权供应商类似项目的业绩合同（以合同签订日期为准），附业绩合同复印件加盖公章，每份1分，满分2分；未提供不计分。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