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版本号：ZCSP-渭南市-2025-0073020250910001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渔业绿色发展--渔业监测项目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ZCSP-渭南市-2025-00730</w:t>
      </w:r>
      <w:r>
        <w:br/>
      </w:r>
      <w:r>
        <w:br/>
      </w:r>
      <w:r>
        <w:br/>
      </w:r>
    </w:p>
    <w:p>
      <w:pPr>
        <w:pStyle w:val="null3"/>
        <w:jc w:val="center"/>
        <w:outlineLvl w:val="2"/>
      </w:pPr>
      <w:r>
        <w:rPr>
          <w:rFonts w:ascii="仿宋_GB2312" w:hAnsi="仿宋_GB2312" w:cs="仿宋_GB2312" w:eastAsia="仿宋_GB2312"/>
          <w:sz w:val="28"/>
          <w:b/>
        </w:rPr>
        <w:t>渭南市畜牧和渔业发展中心</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渭南市畜牧和渔业发展中心</w:t>
      </w:r>
      <w:r>
        <w:rPr>
          <w:rFonts w:ascii="仿宋_GB2312" w:hAnsi="仿宋_GB2312" w:cs="仿宋_GB2312" w:eastAsia="仿宋_GB2312"/>
        </w:rPr>
        <w:t>委托，拟对</w:t>
      </w:r>
      <w:r>
        <w:rPr>
          <w:rFonts w:ascii="仿宋_GB2312" w:hAnsi="仿宋_GB2312" w:cs="仿宋_GB2312" w:eastAsia="仿宋_GB2312"/>
        </w:rPr>
        <w:t>渔业绿色发展--渔业监测项目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渔业绿色发展--渔业监测项目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针对重点区域、重点产地水产品开展违禁药物和有毒有害物质残留监督抽检和快速筛查、渔业投入品规范使用、产地准出、质量追溯、生产环节全程质量监控。完成水产品质量安全监测样品300个。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采购包1（渔业绿色发展--渔业监测项目）：属于专门面向中小企业采购。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其他资格要求：（1）供应商为合法注册的企业法人、事业法人或其他组织。企业法人应提供合法有效的标识有统一社会信用代码的营业执照副本；事业法人应提供事业单位法人证书；其他组织应提供国家规定合法登记证明文件。 （2）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 （3）财务状况报告：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 （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 （5）税收缴纳证明：提供2025年1月至今已缴纳的至少1个月的税收缴纳证明（银行缴费凭证或税收完税证明），依法免税的单位应提供相关证明材料。 （6）供应商应具备良好的商业信誉，提供参加政府采购活动前3年内在经营活动中没有重大违法记录的书面声明。 （7）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 （8）控股管理关系：单位负责人为同一人或存在直接控股、管理关系的不同单位，不得参加同一合同项下的政府采购活动； （9）供应商书面声明：供应商未为本项目提供整体设计、规范编制或者项目管理、监理、检测等服务的书面声明。 （10）供应商具备有效的检验检测机构资质认定证书（CMA）和农产品质量安全检测机构考核合格证书（CATL）；</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渭南市畜牧和渔业发展中心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渭南市临渭区华山大街73号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17789208981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西安市曲江新区雁南五路曲江影视大厦 19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马小林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17795675528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代理服务费收费标准：参照“国家计委关于印发《招标代理服务费管理暂行办法的通知》（计价格[2002]1980号）”规定收费标准收取，服务费由中标（成交）供应商向受托人支付，不足5000元，按5000元收取。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渭南市畜牧和渔业发展中心</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渭南市畜牧和渔业发展中心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渭南市畜牧和渔业发展中心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1.磋商文件、响应文件 2.本合同及附件文本；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联系人：马小林</w:t>
      </w:r>
    </w:p>
    <w:p>
      <w:pPr>
        <w:pStyle w:val="null3"/>
      </w:pPr>
      <w:r>
        <w:rPr>
          <w:rFonts w:ascii="仿宋_GB2312" w:hAnsi="仿宋_GB2312" w:cs="仿宋_GB2312" w:eastAsia="仿宋_GB2312"/>
        </w:rPr>
        <w:t>联系电话：17795675528</w:t>
      </w:r>
    </w:p>
    <w:p>
      <w:pPr>
        <w:pStyle w:val="null3"/>
      </w:pPr>
      <w:r>
        <w:rPr>
          <w:rFonts w:ascii="仿宋_GB2312" w:hAnsi="仿宋_GB2312" w:cs="仿宋_GB2312" w:eastAsia="仿宋_GB2312"/>
        </w:rPr>
        <w:t>地址：西安市曲江新区雁南五路曲江影视大厦 19 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针对重点区域、重点产地水产品开展违禁药物和有毒有害物质残留监督抽检和快速筛查、渔业投入品规范使用、产地准出、质量追溯、生产环节全程质量监控。完成水产品质量安全监测样品300个。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渔业绿色发展--渔业监测项目</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标的名称：渔业绿色发展--渔业监测项目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一、项目概况：</w:t>
            </w:r>
          </w:p>
          <w:p>
            <w:pPr>
              <w:pStyle w:val="null3"/>
              <w:ind w:firstLine="560"/>
              <w:jc w:val="both"/>
            </w:pPr>
            <w:r>
              <w:rPr>
                <w:rFonts w:ascii="仿宋_GB2312" w:hAnsi="仿宋_GB2312" w:cs="仿宋_GB2312" w:eastAsia="仿宋_GB2312"/>
                <w:sz w:val="28"/>
              </w:rPr>
              <w:t>本项目针对重点区域、重点产地水产品开展违禁药物和有毒有害物质残留监督抽检和快速筛查、渔业投入品规范使用、产地准出、质量追溯、生产环节全程质量监控。</w:t>
            </w:r>
          </w:p>
          <w:p>
            <w:pPr>
              <w:pStyle w:val="null3"/>
              <w:jc w:val="both"/>
            </w:pPr>
            <w:r>
              <w:rPr>
                <w:rFonts w:ascii="仿宋_GB2312" w:hAnsi="仿宋_GB2312" w:cs="仿宋_GB2312" w:eastAsia="仿宋_GB2312"/>
                <w:sz w:val="28"/>
              </w:rPr>
              <w:t>二、服务内容及要求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服务内容：水产品质量安全</w:t>
            </w:r>
            <w:r>
              <w:rPr>
                <w:rFonts w:ascii="仿宋_GB2312" w:hAnsi="仿宋_GB2312" w:cs="仿宋_GB2312" w:eastAsia="仿宋_GB2312"/>
                <w:sz w:val="28"/>
              </w:rPr>
              <w:t>监</w:t>
            </w:r>
            <w:r>
              <w:rPr>
                <w:rFonts w:ascii="仿宋_GB2312" w:hAnsi="仿宋_GB2312" w:cs="仿宋_GB2312" w:eastAsia="仿宋_GB2312"/>
                <w:sz w:val="28"/>
              </w:rPr>
              <w:t>测样品</w:t>
            </w:r>
            <w:r>
              <w:rPr>
                <w:rFonts w:ascii="仿宋_GB2312" w:hAnsi="仿宋_GB2312" w:cs="仿宋_GB2312" w:eastAsia="仿宋_GB2312"/>
                <w:sz w:val="28"/>
              </w:rPr>
              <w:t>30</w:t>
            </w:r>
            <w:r>
              <w:rPr>
                <w:rFonts w:ascii="仿宋_GB2312" w:hAnsi="仿宋_GB2312" w:cs="仿宋_GB2312" w:eastAsia="仿宋_GB2312"/>
                <w:sz w:val="28"/>
              </w:rPr>
              <w:t>0个</w:t>
            </w:r>
            <w:r>
              <w:rPr>
                <w:rFonts w:ascii="仿宋_GB2312" w:hAnsi="仿宋_GB2312" w:cs="仿宋_GB2312" w:eastAsia="仿宋_GB2312"/>
                <w:sz w:val="28"/>
              </w:rPr>
              <w:t>，检测内容详见附表</w:t>
            </w:r>
            <w:r>
              <w:rPr>
                <w:rFonts w:ascii="仿宋_GB2312" w:hAnsi="仿宋_GB2312" w:cs="仿宋_GB2312" w:eastAsia="仿宋_GB2312"/>
                <w:sz w:val="28"/>
              </w:rPr>
              <w:t>1。</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质量标准：符合国家现行检测的技术规范和标准。</w:t>
            </w:r>
          </w:p>
          <w:p>
            <w:pPr>
              <w:pStyle w:val="null3"/>
              <w:jc w:val="both"/>
            </w:pPr>
            <w:r>
              <w:rPr>
                <w:rFonts w:ascii="仿宋_GB2312" w:hAnsi="仿宋_GB2312" w:cs="仿宋_GB2312" w:eastAsia="仿宋_GB2312"/>
                <w:sz w:val="28"/>
              </w:rPr>
              <w:t>三、商务要求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服务期限：自合同签订后至</w:t>
            </w:r>
            <w:r>
              <w:rPr>
                <w:rFonts w:ascii="仿宋_GB2312" w:hAnsi="仿宋_GB2312" w:cs="仿宋_GB2312" w:eastAsia="仿宋_GB2312"/>
                <w:sz w:val="28"/>
              </w:rPr>
              <w:t>2025年12月31日前完成</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服务地点：采购人指定地点。</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付款方式：</w:t>
            </w:r>
            <w:r>
              <w:rPr>
                <w:rFonts w:ascii="仿宋_GB2312" w:hAnsi="仿宋_GB2312" w:cs="仿宋_GB2312" w:eastAsia="仿宋_GB2312"/>
                <w:sz w:val="28"/>
              </w:rPr>
              <w:t>合同签订后预付合同金额的</w:t>
            </w:r>
            <w:r>
              <w:rPr>
                <w:rFonts w:ascii="仿宋_GB2312" w:hAnsi="仿宋_GB2312" w:cs="仿宋_GB2312" w:eastAsia="仿宋_GB2312"/>
                <w:sz w:val="28"/>
              </w:rPr>
              <w:t>40%作为预付款，验收合格后30日内付完剩余合同价款。</w:t>
            </w:r>
          </w:p>
          <w:p>
            <w:pPr>
              <w:pStyle w:val="null3"/>
              <w:ind w:firstLine="420"/>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rPr>
              <w:t>附表</w:t>
            </w:r>
            <w:r>
              <w:rPr>
                <w:rFonts w:ascii="仿宋_GB2312" w:hAnsi="仿宋_GB2312" w:cs="仿宋_GB2312" w:eastAsia="仿宋_GB2312"/>
                <w:sz w:val="28"/>
              </w:rPr>
              <w:t>1</w:t>
            </w:r>
          </w:p>
          <w:tbl>
            <w:tblPr>
              <w:tblInd w:type="dxa" w:w="90"/>
              <w:tblBorders>
                <w:top w:val="none" w:color="000000" w:sz="4"/>
                <w:left w:val="none" w:color="000000" w:sz="4"/>
                <w:bottom w:val="none" w:color="000000" w:sz="4"/>
                <w:right w:val="none" w:color="000000" w:sz="4"/>
                <w:insideH w:val="none"/>
                <w:insideV w:val="none"/>
              </w:tblBorders>
            </w:tblPr>
            <w:tblGrid>
              <w:gridCol w:w="1434"/>
              <w:gridCol w:w="1113"/>
            </w:tblGrid>
            <w:tr>
              <w:tc>
                <w:tcPr>
                  <w:tcW w:type="dxa" w:w="2547"/>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b/>
                      <w:color w:val="000000"/>
                    </w:rPr>
                    <w:t>水产品例行监测参数和检测方法</w:t>
                  </w:r>
                </w:p>
              </w:tc>
            </w:tr>
            <w:tr>
              <w:tc>
                <w:tcPr>
                  <w:tcW w:type="dxa" w:w="1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监测参数</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检测方法</w:t>
                  </w:r>
                </w:p>
              </w:tc>
            </w:tr>
            <w:tr>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禁用药物氯霉素</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GB/T 20756或GB 31656.16或农业农村部指定方法进行检测</w:t>
                  </w:r>
                </w:p>
              </w:tc>
            </w:tr>
            <w:tr>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常规药物酰胺醇类（甲砜霉素、氟苯尼考和氟苯尼考胺）</w:t>
                  </w:r>
                </w:p>
              </w:tc>
              <w:tc>
                <w:tcPr>
                  <w:tcW w:type="dxa" w:w="1113"/>
                  <w:vMerge/>
                  <w:tcBorders>
                    <w:top w:val="none" w:color="000000" w:sz="4"/>
                    <w:left w:val="none" w:color="000000" w:sz="4"/>
                    <w:bottom w:val="single" w:color="000000" w:sz="4"/>
                    <w:right w:val="single" w:color="000000" w:sz="4"/>
                  </w:tcBorders>
                </w:tcPr>
                <w:p/>
              </w:tc>
            </w:tr>
            <w:tr>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禁用药物孔雀石绿（包括有色孔雀石绿和无色孔雀石绿）</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w:t>
                  </w:r>
                  <w:r>
                    <w:rPr>
                      <w:rFonts w:ascii="仿宋_GB2312" w:hAnsi="仿宋_GB2312" w:cs="仿宋_GB2312" w:eastAsia="仿宋_GB2312"/>
                      <w:sz w:val="24"/>
                    </w:rPr>
                    <w:t>GB/T 20361或GB/T 19857-2005进行检测</w:t>
                  </w:r>
                </w:p>
              </w:tc>
            </w:tr>
            <w:tr>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禁用药物硝基呋喃类代谢物（包括呋喃唑酮代谢物</w:t>
                  </w:r>
                  <w:r>
                    <w:rPr>
                      <w:rFonts w:ascii="仿宋_GB2312" w:hAnsi="仿宋_GB2312" w:cs="仿宋_GB2312" w:eastAsia="仿宋_GB2312"/>
                      <w:sz w:val="24"/>
                    </w:rPr>
                    <w:t>AOZ、呋喃它酮代谢物AMOZ、呋喃西林代谢物SEM和呋喃妥因代谢物AHD）</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31656.13或农业部783号公告-1-2006进行检测</w:t>
                  </w:r>
                </w:p>
              </w:tc>
            </w:tr>
            <w:tr>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br/>
                  </w:r>
                  <w:r>
                    <w:rPr>
                      <w:rFonts w:ascii="仿宋_GB2312" w:hAnsi="仿宋_GB2312" w:cs="仿宋_GB2312" w:eastAsia="仿宋_GB2312"/>
                      <w:sz w:val="24"/>
                    </w:rPr>
                    <w:t>常规药物磺胺类（包括磺胺噻唑、磺胺嘧啶、磺胺甲基嘧啶、磺胺二甲基嘧啶、磺胺甲基异噁唑、磺胺多辛、磺胺异噁唑、磺胺喹噁啉、磺胺间甲氧嘧啶、磺胺间二甲氧嘧啶、磺胺氯哒嗪和磺胺甲噻二唑等</w:t>
                  </w:r>
                  <w:r>
                    <w:rPr>
                      <w:rFonts w:ascii="仿宋_GB2312" w:hAnsi="仿宋_GB2312" w:cs="仿宋_GB2312" w:eastAsia="仿宋_GB2312"/>
                      <w:sz w:val="24"/>
                    </w:rPr>
                    <w:t>12种）</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1077号公告-1-2008进行检测</w:t>
                  </w:r>
                </w:p>
              </w:tc>
            </w:tr>
            <w:tr>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常规药物氟喹诺酮类（包括恩诺沙星、环丙沙星）</w:t>
                  </w:r>
                </w:p>
              </w:tc>
              <w:tc>
                <w:tcPr>
                  <w:tcW w:type="dxa" w:w="11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1077号公告-1-2008进行检测</w:t>
                  </w:r>
                </w:p>
              </w:tc>
            </w:tr>
            <w:tr>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食品动物中停止使用药物氟喹诺酮类（诺氟沙星、氧氟沙星、培氟沙星和洛美沙星）</w:t>
                  </w:r>
                </w:p>
              </w:tc>
              <w:tc>
                <w:tcPr>
                  <w:tcW w:type="dxa" w:w="1113"/>
                  <w:vMerge/>
                  <w:tcBorders>
                    <w:top w:val="none" w:color="000000" w:sz="4"/>
                    <w:left w:val="none" w:color="000000" w:sz="4"/>
                    <w:bottom w:val="single" w:color="000000" w:sz="4"/>
                    <w:right w:val="single" w:color="000000" w:sz="4"/>
                  </w:tcBorders>
                </w:tcPr>
                <w:p/>
              </w:tc>
            </w:tr>
            <w:tr>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常规药物抗菌增效剂</w:t>
                  </w:r>
                  <w:r>
                    <w:rPr>
                      <w:rFonts w:ascii="仿宋_GB2312" w:hAnsi="仿宋_GB2312" w:cs="仿宋_GB2312" w:eastAsia="仿宋_GB2312"/>
                      <w:sz w:val="28"/>
                    </w:rPr>
                    <w:t>(甲氧苄啶)</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按</w:t>
                  </w:r>
                  <w:r>
                    <w:rPr>
                      <w:rFonts w:ascii="仿宋_GB2312" w:hAnsi="仿宋_GB2312" w:cs="仿宋_GB2312" w:eastAsia="仿宋_GB2312"/>
                      <w:sz w:val="24"/>
                      <w:color w:val="000000"/>
                    </w:rPr>
                    <w:t>GB 29702或GB/T21316进行检测</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注：上述“二、服务内容及要求”和“三、商务要求”属于实质性内容，供应商需完全响应。</w:t>
            </w:r>
          </w:p>
          <w:p>
            <w:pPr>
              <w:pStyle w:val="null3"/>
              <w:ind w:firstLine="4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服务期限：自合同签订后至2025年12月31日前完成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服务地点：采购人指定地点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组成验收组按照合同约定和有关要求进行验收。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合同签订后预付合同金额的40%作为预付款，验收合格后30日内付完剩余合同价款。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服务商未按要求提供服务，采购人会同集中采购机构有权终止合同和对服务商的违约行为进行追究，同时按《政府采购法》有关处罚条款报监管机构进行相应的处罚。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其他资格要求</w:t>
            </w:r>
          </w:p>
        </w:tc>
        <w:tc>
          <w:tcPr>
            <w:tcW w:type="dxa" w:w="3322"/>
          </w:tcPr>
          <w:p>
            <w:pPr>
              <w:pStyle w:val="null3"/>
            </w:pPr>
            <w:r>
              <w:rPr>
                <w:rFonts w:ascii="仿宋_GB2312" w:hAnsi="仿宋_GB2312" w:cs="仿宋_GB2312" w:eastAsia="仿宋_GB2312"/>
              </w:rPr>
              <w:t>（1）供应商为合法注册的企业法人、事业法人或其他组织。企业法人应提供合法有效的标识有统一社会信用代码的营业执照副本；事业法人应提供事业单位法人证书；其他组织应提供国家规定合法登记证明文件。 （2）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 （3）财务状况报告：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 （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 （5）税收缴纳证明：提供2025年1月至今已缴纳的至少1个月的税收缴纳证明（银行缴费凭证或税收完税证明），依法免税的单位应提供相关证明材料。 （6）供应商应具备良好的商业信誉，提供参加政府采购活动前3年内在经营活动中没有重大违法记录的书面声明。 （7）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 （8）控股管理关系：单位负责人为同一人或存在直接控股、管理关系的不同单位，不得参加同一合同项下的政府采购活动； （9）供应商书面声明：供应商未为本项目提供整体设计、规范编制或者项目管理、监理、检测等服务的书面声明。 （10）供应商具备有效的检验检测机构资质认定证书（CMA）和农产品质量安全检测机构考核合格证书（CATL）；</w:t>
            </w:r>
          </w:p>
        </w:tc>
        <w:tc>
          <w:tcPr>
            <w:tcW w:type="dxa" w:w="1661"/>
          </w:tcPr>
          <w:p>
            <w:pPr>
              <w:pStyle w:val="null3"/>
            </w:pPr>
            <w:r>
              <w:rPr>
                <w:rFonts w:ascii="仿宋_GB2312" w:hAnsi="仿宋_GB2312" w:cs="仿宋_GB2312" w:eastAsia="仿宋_GB2312"/>
              </w:rPr>
              <w:t>供应商应提交的相关资格证明材料1.docx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响应文件是否按照磋商文件要求的格式编写。</w:t>
            </w:r>
          </w:p>
        </w:tc>
        <w:tc>
          <w:tcPr>
            <w:tcW w:type="dxa" w:w="1661"/>
          </w:tcPr>
          <w:p>
            <w:pPr>
              <w:pStyle w:val="null3"/>
            </w:pPr>
            <w:r>
              <w:rPr>
                <w:rFonts w:ascii="仿宋_GB2312" w:hAnsi="仿宋_GB2312" w:cs="仿宋_GB2312" w:eastAsia="仿宋_GB2312"/>
              </w:rPr>
              <w:t>响应文件封面 商务应答表1.docx 中小企业声明函 供应商应提交的相关资格证明材料1.docx 服务内容及服务要求应答表1.docx 标的清单 报价表 服务方案1.docx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响应文件的签署、加盖印章是否有效。</w:t>
            </w:r>
          </w:p>
        </w:tc>
        <w:tc>
          <w:tcPr>
            <w:tcW w:type="dxa" w:w="1661"/>
          </w:tcPr>
          <w:p>
            <w:pPr>
              <w:pStyle w:val="null3"/>
            </w:pPr>
            <w:r>
              <w:rPr>
                <w:rFonts w:ascii="仿宋_GB2312" w:hAnsi="仿宋_GB2312" w:cs="仿宋_GB2312" w:eastAsia="仿宋_GB2312"/>
              </w:rPr>
              <w:t>响应文件封面 中小企业声明函 供应商应提交的相关资格证明材料1.docx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报价是否超过采购预算（或最高限价）；投标有效期是否符合采购文件的要求；是否满足采购文件的实质性要求。</w:t>
            </w:r>
          </w:p>
        </w:tc>
        <w:tc>
          <w:tcPr>
            <w:tcW w:type="dxa" w:w="1661"/>
          </w:tcPr>
          <w:p>
            <w:pPr>
              <w:pStyle w:val="null3"/>
            </w:pPr>
            <w:r>
              <w:rPr>
                <w:rFonts w:ascii="仿宋_GB2312" w:hAnsi="仿宋_GB2312" w:cs="仿宋_GB2312" w:eastAsia="仿宋_GB2312"/>
              </w:rPr>
              <w:t>商务应答表1.docx 响应文件封面 服务内容及服务要求应答表1.docx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监测项目理解</w:t>
            </w:r>
          </w:p>
        </w:tc>
        <w:tc>
          <w:tcPr>
            <w:tcW w:type="dxa" w:w="2492"/>
          </w:tcPr>
          <w:p>
            <w:pPr>
              <w:pStyle w:val="null3"/>
            </w:pPr>
            <w:r>
              <w:rPr>
                <w:rFonts w:ascii="仿宋_GB2312" w:hAnsi="仿宋_GB2312" w:cs="仿宋_GB2312" w:eastAsia="仿宋_GB2312"/>
              </w:rPr>
              <w:t>针对本项目的①检测需求、②检测目标、③检测原则分别进行阐述，每项3分：以上内容完整齐全、科学合理、符合采购需求的得9分；每缺少一项方案内容扣3分，每有一项内容存在缺陷的扣1分，扣完为止。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具体情况制定的服务方案：①工作组织方案、②内部管理制度、③组织协调方案、④项目管理服务目标、⑤职业道德与保密措施。每项3分：以上内容完整齐全、科学合理、符合采购需求的得15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服务保证措施：①进度措施、②服务质量保证措施、③安全保证措施、④成果保证措施、⑤后续服务保证措施。每项3分：以上内容完整齐全、科学合理、符合采购需求的得15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对本工作的①重点分析、②难点分析。每项3分：以上分析内容全面合理、完整详实、叙述清楚、节点明确符合实际得6分，每有一项内容存在缺陷的扣1分，扣完为止。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包括①应急预案内容、②应急事项的处理流程方法、③日常预防机制等。每项3分：内容全面、编制科学、具体，处理流程方法详细、可行，能充分满足项目实施过程中的应急需要得9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检测仪器</w:t>
            </w:r>
          </w:p>
        </w:tc>
        <w:tc>
          <w:tcPr>
            <w:tcW w:type="dxa" w:w="2492"/>
          </w:tcPr>
          <w:p>
            <w:pPr>
              <w:pStyle w:val="null3"/>
            </w:pPr>
            <w:r>
              <w:rPr>
                <w:rFonts w:ascii="仿宋_GB2312" w:hAnsi="仿宋_GB2312" w:cs="仿宋_GB2312" w:eastAsia="仿宋_GB2312"/>
              </w:rPr>
              <w:t>检验机构具有①高效液相色谱仪、②气相色谱仪、③紫外分光光度计、④原子荧光分光光度计、⑤原子吸收光谱仪、⑥气相-质谱联用仪、⑦超高效液相色谱-三重四级杆质谱联用仪、⑧电感耦合等离子体发射光谱仪（ICP-OES），同种设备不重复加分，每有一种得 0.5 分，最多计4分。 注：供应商提供每台仪器设备的图片及购置发票和有效期内校准证书等复印件。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项目负责人：拟派项目负责人具有相关专业高级职称得2分，中级职称得1分，其余不得分。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拟投入的团队人员配置（含项目管理、技术、服务人员）专业合理，人员配备齐全、岗位职责明确。团队人员配置合理、齐全、清晰计4分；团队人员配置欠缺或者专业/岗位职责有但是不详细的计2.5分，团队人员配置少或者专业/岗位职责未描述的计1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各项服务承诺</w:t>
            </w:r>
          </w:p>
        </w:tc>
        <w:tc>
          <w:tcPr>
            <w:tcW w:type="dxa" w:w="2492"/>
          </w:tcPr>
          <w:p>
            <w:pPr>
              <w:pStyle w:val="null3"/>
            </w:pPr>
            <w:r>
              <w:rPr>
                <w:rFonts w:ascii="仿宋_GB2312" w:hAnsi="仿宋_GB2312" w:cs="仿宋_GB2312" w:eastAsia="仿宋_GB2312"/>
              </w:rPr>
              <w:t>向采购人提供的各项服务承诺：①响应时间、②人员配备、③设施设备，每项3分：以上内容详细完善、切实可行，能充分考虑到采购人的需求的得9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本项目实施过程中或后续服务方面提出合理化的建议</w:t>
            </w:r>
          </w:p>
        </w:tc>
        <w:tc>
          <w:tcPr>
            <w:tcW w:type="dxa" w:w="2492"/>
          </w:tcPr>
          <w:p>
            <w:pPr>
              <w:pStyle w:val="null3"/>
            </w:pPr>
            <w:r>
              <w:rPr>
                <w:rFonts w:ascii="仿宋_GB2312" w:hAnsi="仿宋_GB2312" w:cs="仿宋_GB2312" w:eastAsia="仿宋_GB2312"/>
              </w:rPr>
              <w:t>针对本项目实施过程中或后续服务方面提出合理化的建议。建议明确、合理、可行得2分；建议一般，得1分，未提供不得分。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投标人近年（2022年1月1日至今）已完成类似项目业绩，每提供一个业绩得1分，满分5分，以加盖公章的合同和中标通知书复印件为准。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1.经初审合格的响应文件，其最终磋商报价为有效报价，并进行价格评审。 2.满足磋商文件实质性要求且最终报价最低的供应商的价格为评标基准价，其价格分为满分20分。 3.报价得分=（评标基准价/投标报价）×20的公式计算得分。 4.报价不完整的，不进入评标基准价的计算，本项得0分。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详见附件：供应商应提交的相关资格证明材料1.docx</w:t>
      </w:r>
    </w:p>
    <w:p>
      <w:pPr>
        <w:pStyle w:val="null3"/>
        <w:ind w:firstLine="960"/>
      </w:pPr>
      <w:r>
        <w:rPr>
          <w:rFonts w:ascii="仿宋_GB2312" w:hAnsi="仿宋_GB2312" w:cs="仿宋_GB2312" w:eastAsia="仿宋_GB2312"/>
        </w:rPr>
        <w:t>详见附件：服务内容及服务要求应答表1.docx</w:t>
      </w:r>
    </w:p>
    <w:p>
      <w:pPr>
        <w:pStyle w:val="null3"/>
        <w:ind w:firstLine="960"/>
      </w:pPr>
      <w:r>
        <w:rPr>
          <w:rFonts w:ascii="仿宋_GB2312" w:hAnsi="仿宋_GB2312" w:cs="仿宋_GB2312" w:eastAsia="仿宋_GB2312"/>
        </w:rPr>
        <w:t>详见附件：商务应答表1.docx</w:t>
      </w:r>
    </w:p>
    <w:p>
      <w:pPr>
        <w:pStyle w:val="null3"/>
        <w:ind w:firstLine="960"/>
      </w:pPr>
      <w:r>
        <w:rPr>
          <w:rFonts w:ascii="仿宋_GB2312" w:hAnsi="仿宋_GB2312" w:cs="仿宋_GB2312" w:eastAsia="仿宋_GB2312"/>
        </w:rPr>
        <w:t>详见附件：服务方案1.docx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