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版本号：ZCSP-渭南市-2025-00707（2524HZ2356）20260112001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医学检验全自动血凝分析流水线、全自动酶免分析仪、精子质量分析仪、全自动化学发光测定仪设备采购项目(二次)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ZCSP-渭南市-2025-00707（2524HZ2356）</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医学检验全自动血凝分析流水线、全自动酶免分析仪、精子质量分析仪、全自动化学发光测定仪设备采购项目(二次)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ZCSP-渭南市-2025-00707（2524HZ2356）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医学检验全自动血凝分析流水线、全自动酶免分析仪、精子质量分析仪、全自动化学发光测定仪设备采购项目(二次)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本项目为渭南市中心医院采购医学检验全自动血凝分析流水线、全自动酶免分析仪、精子质量分析仪、全自动化学发光测定仪设备采购项目，分为三个标段，第一标段采购清单：全自动酶免分析仪 1套、精子质量分析仪 1套；第二标段采购清单：自动血凝分析流水线（前处理+3单机模块） 1套、全自动血凝分析仪 1套；第三标段采购清单：全自动化学发光测定仪 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1、授权委托书/法定代表人身份证明：提供法定代表人授权书 (附法定代表人、被授权人身份证复印件) 或提供法定代表人身份证明及身份证复印件（法定代表人直接参加投标)。</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3、符合《医疗器械经营监督管理办法》的相关规定：投标人须具备所投医疗器械销售资格，提供医疗器经营备案凭证。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张宇鑫、王崇博、李建飞、周小方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A020101 计算机设备、A0201060102激光打印机、A0201060104 针式打印机、A0201060401液晶显示器等（如有）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A0201060101喷墨打印机等（如有）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A020101计算机设备、A020106输入输出设备等（如有）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服务类收费标准收取。由中标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现行的国家标准或国家行政部门颁布的法律法规、规章制度等，是项目验收的另一个重要依据。没有国家标准的，可以参考行业标准。主要按采购文件和投标文件验收。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地址：陕西省西安市雁塔区南二环西段58号成长大厦10～14层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本项目为渭南市中心医院采购医学检验全自动血凝分析流水线、全自动酶免分析仪、精子质量分析仪、全自动化学发光测定仪设备采购项目，分为三个标段，第一标段采购清单：全自动酶免分析仪 1套、精子质量分析仪 1套；第二标段采购清单：自动血凝分析流水线（前处理+3单机模块） 1套、全自动血凝分析仪 1套；第三标段采购清单：全自动化学发光测定仪 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1,020,000.00</w:t>
      </w:r>
    </w:p>
    <w:p>
      <w:pPr>
        <w:pStyle w:val="null3"/>
      </w:pPr>
      <w:r>
        <w:rPr>
          <w:rFonts w:ascii="仿宋_GB2312" w:hAnsi="仿宋_GB2312" w:cs="仿宋_GB2312" w:eastAsia="仿宋_GB2312"/>
        </w:rPr>
        <w:t>采购包最高限价（元）: 1,020,000.00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医学检验全自动血凝分析流水线、全自动酶免分析仪、精子质量分析仪、全自动化学发光测定仪设备采购项目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标的名称：医学检验全自动血凝分析流水线、全自动酶免分析仪、精子质量分析仪、全自动化学发光测定仪设备采购项目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全自动酶免分析仪（核心产品）</w:t>
            </w:r>
          </w:p>
          <w:p>
            <w:pPr>
              <w:pStyle w:val="null3"/>
            </w:pPr>
            <w:r>
              <w:rPr>
                <w:rFonts w:ascii="仿宋_GB2312" w:hAnsi="仿宋_GB2312" w:cs="仿宋_GB2312" w:eastAsia="仿宋_GB2312"/>
              </w:rPr>
              <w:t>数量：壹套</w:t>
            </w:r>
          </w:p>
          <w:p>
            <w:pPr>
              <w:pStyle w:val="null3"/>
            </w:pPr>
            <w:r>
              <w:rPr>
                <w:rFonts w:ascii="仿宋_GB2312" w:hAnsi="仿宋_GB2312" w:cs="仿宋_GB2312" w:eastAsia="仿宋_GB2312"/>
              </w:rPr>
              <w:t>设备用途：用于酶联免疫实验时进行液体分配、微板孵育、微板清洗和结果判读。</w:t>
            </w:r>
          </w:p>
          <w:p>
            <w:pPr>
              <w:pStyle w:val="null3"/>
            </w:pPr>
            <w:r>
              <w:rPr>
                <w:rFonts w:ascii="仿宋_GB2312" w:hAnsi="仿宋_GB2312" w:cs="仿宋_GB2312" w:eastAsia="仿宋_GB2312"/>
              </w:rPr>
              <w:t>主要技术规格及系统概述：</w:t>
            </w:r>
          </w:p>
          <w:p>
            <w:pPr>
              <w:pStyle w:val="null3"/>
              <w:jc w:val="left"/>
            </w:pPr>
            <w:r>
              <w:rPr>
                <w:rFonts w:ascii="仿宋_GB2312" w:hAnsi="仿宋_GB2312" w:cs="仿宋_GB2312" w:eastAsia="仿宋_GB2312"/>
              </w:rPr>
              <w:t>（一）全自动酶免分析仪 1台</w:t>
            </w:r>
          </w:p>
          <w:p>
            <w:pPr>
              <w:pStyle w:val="null3"/>
              <w:jc w:val="left"/>
            </w:pPr>
            <w:r>
              <w:rPr>
                <w:rFonts w:ascii="仿宋_GB2312" w:hAnsi="仿宋_GB2312" w:cs="仿宋_GB2312" w:eastAsia="仿宋_GB2312"/>
              </w:rPr>
              <w:t>1.</w:t>
            </w:r>
            <w:r>
              <w:rPr>
                <w:rFonts w:ascii="仿宋_GB2312" w:hAnsi="仿宋_GB2312" w:cs="仿宋_GB2312" w:eastAsia="仿宋_GB2312"/>
              </w:rPr>
              <w:t>基本功能：</w:t>
            </w:r>
          </w:p>
          <w:p>
            <w:pPr>
              <w:pStyle w:val="null3"/>
              <w:jc w:val="left"/>
            </w:pPr>
            <w:r>
              <w:rPr>
                <w:rFonts w:ascii="仿宋_GB2312" w:hAnsi="仿宋_GB2312" w:cs="仿宋_GB2312" w:eastAsia="仿宋_GB2312"/>
              </w:rPr>
              <w:t>1.1</w:t>
            </w:r>
            <w:r>
              <w:rPr>
                <w:rFonts w:ascii="仿宋_GB2312" w:hAnsi="仿宋_GB2312" w:cs="仿宋_GB2312" w:eastAsia="仿宋_GB2312"/>
              </w:rPr>
              <w:t>全自动完成ELISA实验，包括标本分配、试剂加注、振荡、孵育、洗板、判读；</w:t>
            </w:r>
          </w:p>
          <w:p>
            <w:pPr>
              <w:pStyle w:val="null3"/>
              <w:spacing w:after="120"/>
              <w:ind w:right="60"/>
              <w:jc w:val="both"/>
            </w:pPr>
            <w:r>
              <w:rPr>
                <w:rFonts w:ascii="仿宋_GB2312" w:hAnsi="仿宋_GB2312" w:cs="仿宋_GB2312" w:eastAsia="仿宋_GB2312"/>
              </w:rPr>
              <w:t>1.2检测项目包括：血筛检测、肝炎检测(甲乙丙丁戊肝)、结核杆菌检测、呼吸道疾病检测(EB病毒)等；</w:t>
            </w:r>
          </w:p>
          <w:p>
            <w:pPr>
              <w:pStyle w:val="null3"/>
              <w:jc w:val="left"/>
            </w:pPr>
            <w:r>
              <w:rPr>
                <w:rFonts w:ascii="仿宋_GB2312" w:hAnsi="仿宋_GB2312" w:cs="仿宋_GB2312" w:eastAsia="仿宋_GB2312"/>
              </w:rPr>
              <w:t>2.</w:t>
            </w:r>
            <w:r>
              <w:rPr>
                <w:rFonts w:ascii="仿宋_GB2312" w:hAnsi="仿宋_GB2312" w:cs="仿宋_GB2312" w:eastAsia="仿宋_GB2312"/>
              </w:rPr>
              <w:t>机械臂：≥2个独立的机械臂，至少包括1个移液臂，1个抓手臂；</w:t>
            </w:r>
          </w:p>
          <w:p>
            <w:pPr>
              <w:pStyle w:val="null3"/>
              <w:jc w:val="left"/>
            </w:pPr>
            <w:r>
              <w:rPr>
                <w:rFonts w:ascii="仿宋_GB2312" w:hAnsi="仿宋_GB2312" w:cs="仿宋_GB2312" w:eastAsia="仿宋_GB2312"/>
              </w:rPr>
              <w:t>3.</w:t>
            </w:r>
            <w:r>
              <w:rPr>
                <w:rFonts w:ascii="仿宋_GB2312" w:hAnsi="仿宋_GB2312" w:cs="仿宋_GB2312" w:eastAsia="仿宋_GB2312"/>
              </w:rPr>
              <w:t>加样通道：≥8个加样通道，气动置换加样原理；</w:t>
            </w:r>
          </w:p>
          <w:p>
            <w:pPr>
              <w:pStyle w:val="null3"/>
              <w:jc w:val="left"/>
            </w:pPr>
            <w:r>
              <w:rPr>
                <w:rFonts w:ascii="仿宋_GB2312" w:hAnsi="仿宋_GB2312" w:cs="仿宋_GB2312" w:eastAsia="仿宋_GB2312"/>
              </w:rPr>
              <w:t>4.Z</w:t>
            </w:r>
            <w:r>
              <w:rPr>
                <w:rFonts w:ascii="仿宋_GB2312" w:hAnsi="仿宋_GB2312" w:cs="仿宋_GB2312" w:eastAsia="仿宋_GB2312"/>
              </w:rPr>
              <w:t>工作模式：可丝杆传动或皮带传动；</w:t>
            </w:r>
          </w:p>
          <w:p>
            <w:pPr>
              <w:pStyle w:val="null3"/>
              <w:jc w:val="left"/>
            </w:pPr>
            <w:r>
              <w:rPr>
                <w:rFonts w:ascii="仿宋_GB2312" w:hAnsi="仿宋_GB2312" w:cs="仿宋_GB2312" w:eastAsia="仿宋_GB2312"/>
              </w:rPr>
              <w:t>5.</w:t>
            </w:r>
            <w:r>
              <w:rPr>
                <w:rFonts w:ascii="仿宋_GB2312" w:hAnsi="仿宋_GB2312" w:cs="仿宋_GB2312" w:eastAsia="仿宋_GB2312"/>
              </w:rPr>
              <w:t>可实现标本批量处理和随机处理，连续上样测试；</w:t>
            </w:r>
          </w:p>
          <w:p>
            <w:pPr>
              <w:pStyle w:val="null3"/>
              <w:jc w:val="left"/>
            </w:pPr>
            <w:r>
              <w:rPr>
                <w:rFonts w:ascii="仿宋_GB2312" w:hAnsi="仿宋_GB2312" w:cs="仿宋_GB2312" w:eastAsia="仿宋_GB2312"/>
              </w:rPr>
              <w:t>6.</w:t>
            </w:r>
            <w:r>
              <w:rPr>
                <w:rFonts w:ascii="仿宋_GB2312" w:hAnsi="仿宋_GB2312" w:cs="仿宋_GB2312" w:eastAsia="仿宋_GB2312"/>
              </w:rPr>
              <w:t>加样针：加样针容量≥1000ul；</w:t>
            </w:r>
          </w:p>
          <w:p>
            <w:pPr>
              <w:pStyle w:val="null3"/>
              <w:jc w:val="left"/>
            </w:pPr>
            <w:r>
              <w:rPr>
                <w:rFonts w:ascii="仿宋_GB2312" w:hAnsi="仿宋_GB2312" w:cs="仿宋_GB2312" w:eastAsia="仿宋_GB2312"/>
              </w:rPr>
              <w:t>7.</w:t>
            </w:r>
            <w:r>
              <w:rPr>
                <w:rFonts w:ascii="仿宋_GB2312" w:hAnsi="仿宋_GB2312" w:cs="仿宋_GB2312" w:eastAsia="仿宋_GB2312"/>
              </w:rPr>
              <w:t>液体探测：具有液面和凝块探测、报警等功能，压力感应式探测原理；</w:t>
            </w:r>
          </w:p>
          <w:p>
            <w:pPr>
              <w:pStyle w:val="null3"/>
              <w:jc w:val="left"/>
            </w:pPr>
            <w:r>
              <w:rPr>
                <w:rFonts w:ascii="仿宋_GB2312" w:hAnsi="仿宋_GB2312" w:cs="仿宋_GB2312" w:eastAsia="仿宋_GB2312"/>
              </w:rPr>
              <w:t>▲8.加样范围：10～1000ul；</w:t>
            </w:r>
          </w:p>
          <w:p>
            <w:pPr>
              <w:pStyle w:val="null3"/>
              <w:jc w:val="left"/>
            </w:pPr>
            <w:r>
              <w:rPr>
                <w:rFonts w:ascii="仿宋_GB2312" w:hAnsi="仿宋_GB2312" w:cs="仿宋_GB2312" w:eastAsia="仿宋_GB2312"/>
              </w:rPr>
              <w:t>9.</w:t>
            </w:r>
            <w:r>
              <w:rPr>
                <w:rFonts w:ascii="仿宋_GB2312" w:hAnsi="仿宋_GB2312" w:cs="仿宋_GB2312" w:eastAsia="仿宋_GB2312"/>
              </w:rPr>
              <w:t>加样精度：加样量100ul时，精度≤1%，准确度±2.5%，加样量1000ul时，精度≤1%，准确度±1%；</w:t>
            </w:r>
          </w:p>
          <w:p>
            <w:pPr>
              <w:pStyle w:val="null3"/>
              <w:jc w:val="left"/>
            </w:pPr>
            <w:r>
              <w:rPr>
                <w:rFonts w:ascii="仿宋_GB2312" w:hAnsi="仿宋_GB2312" w:cs="仿宋_GB2312" w:eastAsia="仿宋_GB2312"/>
              </w:rPr>
              <w:t>10.</w:t>
            </w:r>
            <w:r>
              <w:rPr>
                <w:rFonts w:ascii="仿宋_GB2312" w:hAnsi="仿宋_GB2312" w:cs="仿宋_GB2312" w:eastAsia="仿宋_GB2312"/>
              </w:rPr>
              <w:t>分配速度：标本分配速度≤90秒/96孔板，试剂分配速度≤80秒/96孔板；</w:t>
            </w:r>
          </w:p>
          <w:p>
            <w:pPr>
              <w:pStyle w:val="null3"/>
              <w:jc w:val="left"/>
            </w:pPr>
            <w:r>
              <w:rPr>
                <w:rFonts w:ascii="仿宋_GB2312" w:hAnsi="仿宋_GB2312" w:cs="仿宋_GB2312" w:eastAsia="仿宋_GB2312"/>
              </w:rPr>
              <w:t>11.</w:t>
            </w:r>
            <w:r>
              <w:rPr>
                <w:rFonts w:ascii="仿宋_GB2312" w:hAnsi="仿宋_GB2312" w:cs="仿宋_GB2312" w:eastAsia="仿宋_GB2312"/>
              </w:rPr>
              <w:t>加样微板位：≥16个，可连续分配标本的微板数≥16块；</w:t>
            </w:r>
          </w:p>
          <w:p>
            <w:pPr>
              <w:pStyle w:val="null3"/>
              <w:jc w:val="left"/>
            </w:pPr>
            <w:r>
              <w:rPr>
                <w:rFonts w:ascii="仿宋_GB2312" w:hAnsi="仿宋_GB2312" w:cs="仿宋_GB2312" w:eastAsia="仿宋_GB2312"/>
              </w:rPr>
              <w:t>12.</w:t>
            </w:r>
            <w:r>
              <w:rPr>
                <w:rFonts w:ascii="仿宋_GB2312" w:hAnsi="仿宋_GB2312" w:cs="仿宋_GB2312" w:eastAsia="仿宋_GB2312"/>
              </w:rPr>
              <w:t>样本位：可同时加载样本管≥190个上机检测；</w:t>
            </w:r>
          </w:p>
          <w:p>
            <w:pPr>
              <w:pStyle w:val="null3"/>
              <w:jc w:val="left"/>
            </w:pPr>
            <w:r>
              <w:rPr>
                <w:rFonts w:ascii="仿宋_GB2312" w:hAnsi="仿宋_GB2312" w:cs="仿宋_GB2312" w:eastAsia="仿宋_GB2312"/>
              </w:rPr>
              <w:t>13.</w:t>
            </w:r>
            <w:r>
              <w:rPr>
                <w:rFonts w:ascii="仿宋_GB2312" w:hAnsi="仿宋_GB2312" w:cs="仿宋_GB2312" w:eastAsia="仿宋_GB2312"/>
              </w:rPr>
              <w:t>标本条码扫描：标本条码扫描仪≥1个，装载标本时自动扫描标本条码；</w:t>
            </w:r>
          </w:p>
          <w:p>
            <w:pPr>
              <w:pStyle w:val="null3"/>
              <w:jc w:val="left"/>
            </w:pPr>
            <w:r>
              <w:rPr>
                <w:rFonts w:ascii="仿宋_GB2312" w:hAnsi="仿宋_GB2312" w:cs="仿宋_GB2312" w:eastAsia="仿宋_GB2312"/>
              </w:rPr>
              <w:t>▲14.试剂位：通用试剂位≥20个，专用试剂位≥40个，可识别试剂的类型和位置，试剂空缺时，自动纠错和缺位提示；</w:t>
            </w:r>
          </w:p>
          <w:p>
            <w:pPr>
              <w:pStyle w:val="null3"/>
              <w:jc w:val="left"/>
            </w:pPr>
            <w:r>
              <w:rPr>
                <w:rFonts w:ascii="仿宋_GB2312" w:hAnsi="仿宋_GB2312" w:cs="仿宋_GB2312" w:eastAsia="仿宋_GB2312"/>
              </w:rPr>
              <w:t>15.</w:t>
            </w:r>
            <w:r>
              <w:rPr>
                <w:rFonts w:ascii="仿宋_GB2312" w:hAnsi="仿宋_GB2312" w:cs="仿宋_GB2312" w:eastAsia="仿宋_GB2312"/>
              </w:rPr>
              <w:t>机械抓手：具有监测抓板功能，抓空自动报警，能自动适应各种宽度类型的微板；</w:t>
            </w:r>
          </w:p>
          <w:p>
            <w:pPr>
              <w:pStyle w:val="null3"/>
              <w:jc w:val="left"/>
            </w:pPr>
            <w:r>
              <w:rPr>
                <w:rFonts w:ascii="仿宋_GB2312" w:hAnsi="仿宋_GB2312" w:cs="仿宋_GB2312" w:eastAsia="仿宋_GB2312"/>
              </w:rPr>
              <w:t>16.</w:t>
            </w:r>
            <w:r>
              <w:rPr>
                <w:rFonts w:ascii="仿宋_GB2312" w:hAnsi="仿宋_GB2312" w:cs="仿宋_GB2312" w:eastAsia="仿宋_GB2312"/>
              </w:rPr>
              <w:t>抓手工作模式：≥1根丝杆实现抓手上下（Z方向）运行；</w:t>
            </w:r>
          </w:p>
          <w:p>
            <w:pPr>
              <w:pStyle w:val="null3"/>
              <w:jc w:val="left"/>
            </w:pPr>
            <w:r>
              <w:rPr>
                <w:rFonts w:ascii="仿宋_GB2312" w:hAnsi="仿宋_GB2312" w:cs="仿宋_GB2312" w:eastAsia="仿宋_GB2312"/>
              </w:rPr>
              <w:t>▲17.孵育模块：振荡孵育模块≥16个，每个模块均可独立振荡，控温孵育，温度控制范围为常温RT～60℃，精确度≤±0.4℃；（提供产品检验报告）</w:t>
            </w:r>
          </w:p>
          <w:p>
            <w:pPr>
              <w:pStyle w:val="null3"/>
              <w:numPr>
                <w:ilvl w:val="0"/>
                <w:numId w:val="1"/>
              </w:numPr>
              <w:jc w:val="left"/>
            </w:pPr>
            <w:r>
              <w:rPr>
                <w:rFonts w:ascii="仿宋_GB2312" w:hAnsi="仿宋_GB2312" w:cs="仿宋_GB2312" w:eastAsia="仿宋_GB2312"/>
              </w:rPr>
              <w:t>洗板机：≥3台可独立控制的洗板机，≥3个洗板头，每台洗板机1个独立的洗板头，每个洗板头≥16针，3台洗板机可同时使用≥3种不同类型的洗液并列洗板，洗板残留量≤1μL/孔；</w:t>
            </w:r>
          </w:p>
          <w:p>
            <w:pPr>
              <w:pStyle w:val="null3"/>
              <w:spacing w:after="120"/>
              <w:ind w:right="60"/>
              <w:jc w:val="both"/>
            </w:pPr>
            <w:r>
              <w:rPr>
                <w:rFonts w:ascii="仿宋_GB2312" w:hAnsi="仿宋_GB2312" w:cs="仿宋_GB2312" w:eastAsia="仿宋_GB2312"/>
              </w:rPr>
              <w:t>19.洗板机可在机独立使用；</w:t>
            </w:r>
          </w:p>
          <w:p>
            <w:pPr>
              <w:pStyle w:val="null3"/>
              <w:jc w:val="left"/>
            </w:pPr>
            <w:r>
              <w:rPr>
                <w:rFonts w:ascii="仿宋_GB2312" w:hAnsi="仿宋_GB2312" w:cs="仿宋_GB2312" w:eastAsia="仿宋_GB2312"/>
              </w:rPr>
              <w:t>20.</w:t>
            </w:r>
            <w:r>
              <w:rPr>
                <w:rFonts w:ascii="仿宋_GB2312" w:hAnsi="仿宋_GB2312" w:cs="仿宋_GB2312" w:eastAsia="仿宋_GB2312"/>
              </w:rPr>
              <w:t>洗液通道具备识别洗液类别功能；</w:t>
            </w:r>
          </w:p>
          <w:p>
            <w:pPr>
              <w:pStyle w:val="null3"/>
              <w:jc w:val="left"/>
            </w:pPr>
            <w:r>
              <w:rPr>
                <w:rFonts w:ascii="仿宋_GB2312" w:hAnsi="仿宋_GB2312" w:cs="仿宋_GB2312" w:eastAsia="仿宋_GB2312"/>
              </w:rPr>
              <w:t>21.</w:t>
            </w:r>
            <w:r>
              <w:rPr>
                <w:rFonts w:ascii="仿宋_GB2312" w:hAnsi="仿宋_GB2312" w:cs="仿宋_GB2312" w:eastAsia="仿宋_GB2312"/>
              </w:rPr>
              <w:t>洗液监测：≥4个传感器，每台洗板机同时连接多个洗液瓶，每个洗液瓶位均配有传感器，实时监测并显示每个洗液瓶液量，洗液量不足时自动切换使用备用洗液；</w:t>
            </w:r>
          </w:p>
          <w:p>
            <w:pPr>
              <w:pStyle w:val="null3"/>
              <w:jc w:val="left"/>
            </w:pPr>
            <w:r>
              <w:rPr>
                <w:rFonts w:ascii="仿宋_GB2312" w:hAnsi="仿宋_GB2312" w:cs="仿宋_GB2312" w:eastAsia="仿宋_GB2312"/>
              </w:rPr>
              <w:t>▲22.酶标仪：≥8通道，可单、双波长判读，需与投标产品为同一个厂家；</w:t>
            </w:r>
          </w:p>
          <w:p>
            <w:pPr>
              <w:pStyle w:val="null3"/>
              <w:jc w:val="left"/>
            </w:pPr>
            <w:r>
              <w:rPr>
                <w:rFonts w:ascii="仿宋_GB2312" w:hAnsi="仿宋_GB2312" w:cs="仿宋_GB2312" w:eastAsia="仿宋_GB2312"/>
              </w:rPr>
              <w:t>23.</w:t>
            </w:r>
            <w:r>
              <w:rPr>
                <w:rFonts w:ascii="仿宋_GB2312" w:hAnsi="仿宋_GB2312" w:cs="仿宋_GB2312" w:eastAsia="仿宋_GB2312"/>
              </w:rPr>
              <w:t>酶标仪的滤光片：至少配备配置405nm、450nm、492nm、630nm四种滤光片；</w:t>
            </w:r>
          </w:p>
          <w:p>
            <w:pPr>
              <w:pStyle w:val="null3"/>
              <w:jc w:val="left"/>
            </w:pPr>
            <w:r>
              <w:rPr>
                <w:rFonts w:ascii="仿宋_GB2312" w:hAnsi="仿宋_GB2312" w:cs="仿宋_GB2312" w:eastAsia="仿宋_GB2312"/>
              </w:rPr>
              <w:t>24.</w:t>
            </w:r>
            <w:r>
              <w:rPr>
                <w:rFonts w:ascii="仿宋_GB2312" w:hAnsi="仿宋_GB2312" w:cs="仿宋_GB2312" w:eastAsia="仿宋_GB2312"/>
              </w:rPr>
              <w:t>酶标仪的光源：LED，光源数量≥4个，每个波长的滤光片配置对应一个独立的LED光源；</w:t>
            </w:r>
          </w:p>
          <w:p>
            <w:pPr>
              <w:pStyle w:val="null3"/>
              <w:jc w:val="left"/>
            </w:pPr>
            <w:r>
              <w:rPr>
                <w:rFonts w:ascii="仿宋_GB2312" w:hAnsi="仿宋_GB2312" w:cs="仿宋_GB2312" w:eastAsia="仿宋_GB2312"/>
              </w:rPr>
              <w:t>25.</w:t>
            </w:r>
            <w:r>
              <w:rPr>
                <w:rFonts w:ascii="仿宋_GB2312" w:hAnsi="仿宋_GB2312" w:cs="仿宋_GB2312" w:eastAsia="仿宋_GB2312"/>
              </w:rPr>
              <w:t>软件系统：全中文，操作系统为windows7及以上，液晶显示器≥32吋，分辨率≥1920*1080,CPU为i7及以上，内存≥32GB，固态硬盘≥1T，机械硬盘≥2T；</w:t>
            </w:r>
          </w:p>
          <w:p>
            <w:pPr>
              <w:pStyle w:val="null3"/>
              <w:jc w:val="left"/>
            </w:pPr>
            <w:r>
              <w:rPr>
                <w:rFonts w:ascii="仿宋_GB2312" w:hAnsi="仿宋_GB2312" w:cs="仿宋_GB2312" w:eastAsia="仿宋_GB2312"/>
              </w:rPr>
              <w:t>26.</w:t>
            </w:r>
            <w:r>
              <w:rPr>
                <w:rFonts w:ascii="仿宋_GB2312" w:hAnsi="仿宋_GB2312" w:cs="仿宋_GB2312" w:eastAsia="仿宋_GB2312"/>
              </w:rPr>
              <w:t>负责提供与实验室信息管理系统（LIS/HIS）进行双向数据对接，自动将结果发送到管理系统中集中处理；</w:t>
            </w:r>
          </w:p>
          <w:p>
            <w:pPr>
              <w:pStyle w:val="null3"/>
              <w:jc w:val="left"/>
            </w:pPr>
            <w:r>
              <w:rPr>
                <w:rFonts w:ascii="仿宋_GB2312" w:hAnsi="仿宋_GB2312" w:cs="仿宋_GB2312" w:eastAsia="仿宋_GB2312"/>
              </w:rPr>
              <w:t>27.</w:t>
            </w:r>
            <w:r>
              <w:rPr>
                <w:rFonts w:ascii="仿宋_GB2312" w:hAnsi="仿宋_GB2312" w:cs="仿宋_GB2312" w:eastAsia="仿宋_GB2312"/>
              </w:rPr>
              <w:t>拼板功能：同一块微板上进行≥6项目的检测；</w:t>
            </w:r>
          </w:p>
          <w:p>
            <w:pPr>
              <w:pStyle w:val="null3"/>
              <w:jc w:val="left"/>
            </w:pPr>
            <w:r>
              <w:rPr>
                <w:rFonts w:ascii="仿宋_GB2312" w:hAnsi="仿宋_GB2312" w:cs="仿宋_GB2312" w:eastAsia="仿宋_GB2312"/>
              </w:rPr>
              <w:t>28.</w:t>
            </w:r>
            <w:r>
              <w:rPr>
                <w:rFonts w:ascii="仿宋_GB2312" w:hAnsi="仿宋_GB2312" w:cs="仿宋_GB2312" w:eastAsia="仿宋_GB2312"/>
              </w:rPr>
              <w:t>具有自定义项目功能；</w:t>
            </w:r>
          </w:p>
          <w:p>
            <w:pPr>
              <w:pStyle w:val="null3"/>
              <w:jc w:val="left"/>
            </w:pPr>
            <w:r>
              <w:rPr>
                <w:rFonts w:ascii="仿宋_GB2312" w:hAnsi="仿宋_GB2312" w:cs="仿宋_GB2312" w:eastAsia="仿宋_GB2312"/>
              </w:rPr>
              <w:t>29.</w:t>
            </w:r>
            <w:r>
              <w:rPr>
                <w:rFonts w:ascii="仿宋_GB2312" w:hAnsi="仿宋_GB2312" w:cs="仿宋_GB2312" w:eastAsia="仿宋_GB2312"/>
              </w:rPr>
              <w:t>具有多孔复查功能；</w:t>
            </w:r>
          </w:p>
          <w:p>
            <w:pPr>
              <w:pStyle w:val="null3"/>
              <w:jc w:val="left"/>
            </w:pPr>
            <w:r>
              <w:rPr>
                <w:rFonts w:ascii="仿宋_GB2312" w:hAnsi="仿宋_GB2312" w:cs="仿宋_GB2312" w:eastAsia="仿宋_GB2312"/>
              </w:rPr>
              <w:t>30.</w:t>
            </w:r>
            <w:r>
              <w:rPr>
                <w:rFonts w:ascii="仿宋_GB2312" w:hAnsi="仿宋_GB2312" w:cs="仿宋_GB2312" w:eastAsia="仿宋_GB2312"/>
              </w:rPr>
              <w:t>具有微板插入功能；</w:t>
            </w:r>
          </w:p>
          <w:p>
            <w:pPr>
              <w:pStyle w:val="null3"/>
              <w:jc w:val="left"/>
            </w:pPr>
            <w:r>
              <w:rPr>
                <w:rFonts w:ascii="仿宋_GB2312" w:hAnsi="仿宋_GB2312" w:cs="仿宋_GB2312" w:eastAsia="仿宋_GB2312"/>
              </w:rPr>
              <w:t>31.</w:t>
            </w:r>
            <w:r>
              <w:rPr>
                <w:rFonts w:ascii="仿宋_GB2312" w:hAnsi="仿宋_GB2312" w:cs="仿宋_GB2312" w:eastAsia="仿宋_GB2312"/>
              </w:rPr>
              <w:t>具备报警声、警示灯的双重报警系统功能，具备电磁安全防护门锁或</w:t>
            </w:r>
            <w:r>
              <w:rPr>
                <w:rFonts w:ascii="仿宋_GB2312" w:hAnsi="仿宋_GB2312" w:cs="仿宋_GB2312" w:eastAsia="仿宋_GB2312"/>
              </w:rPr>
              <w:t>开</w:t>
            </w:r>
            <w:r>
              <w:rPr>
                <w:rFonts w:ascii="仿宋_GB2312" w:hAnsi="仿宋_GB2312" w:cs="仿宋_GB2312" w:eastAsia="仿宋_GB2312"/>
              </w:rPr>
              <w:t>舱暂停功能；</w:t>
            </w:r>
          </w:p>
          <w:p>
            <w:pPr>
              <w:pStyle w:val="null3"/>
              <w:jc w:val="left"/>
            </w:pPr>
            <w:r>
              <w:rPr>
                <w:rFonts w:ascii="仿宋_GB2312" w:hAnsi="仿宋_GB2312" w:cs="仿宋_GB2312" w:eastAsia="仿宋_GB2312"/>
              </w:rPr>
              <w:t>32.</w:t>
            </w:r>
            <w:r>
              <w:rPr>
                <w:rFonts w:ascii="仿宋_GB2312" w:hAnsi="仿宋_GB2312" w:cs="仿宋_GB2312" w:eastAsia="仿宋_GB2312"/>
              </w:rPr>
              <w:t>设备设计使用年限：≥10年；</w:t>
            </w:r>
          </w:p>
          <w:p>
            <w:pPr>
              <w:pStyle w:val="null3"/>
              <w:jc w:val="left"/>
            </w:pPr>
            <w:r>
              <w:rPr>
                <w:rFonts w:ascii="仿宋_GB2312" w:hAnsi="仿宋_GB2312" w:cs="仿宋_GB2312" w:eastAsia="仿宋_GB2312"/>
              </w:rPr>
              <w:t>★</w:t>
            </w:r>
            <w:r>
              <w:rPr>
                <w:rFonts w:ascii="仿宋_GB2312" w:hAnsi="仿宋_GB2312" w:cs="仿宋_GB2312" w:eastAsia="仿宋_GB2312"/>
              </w:rPr>
              <w:t>33.</w:t>
            </w:r>
            <w:r>
              <w:rPr>
                <w:rFonts w:ascii="仿宋_GB2312" w:hAnsi="仿宋_GB2312" w:cs="仿宋_GB2312" w:eastAsia="仿宋_GB2312"/>
              </w:rPr>
              <w:t>试剂通道完全开放；</w:t>
            </w:r>
          </w:p>
          <w:p>
            <w:pPr>
              <w:pStyle w:val="null3"/>
              <w:jc w:val="left"/>
            </w:pPr>
            <w:r>
              <w:rPr>
                <w:rFonts w:ascii="仿宋_GB2312" w:hAnsi="仿宋_GB2312" w:cs="仿宋_GB2312" w:eastAsia="仿宋_GB2312"/>
              </w:rPr>
              <w:t>（二）低速离心机 2台</w:t>
            </w:r>
          </w:p>
          <w:p>
            <w:pPr>
              <w:pStyle w:val="null3"/>
              <w:jc w:val="left"/>
            </w:pPr>
            <w:r>
              <w:rPr>
                <w:rFonts w:ascii="仿宋_GB2312" w:hAnsi="仿宋_GB2312" w:cs="仿宋_GB2312" w:eastAsia="仿宋_GB2312"/>
              </w:rPr>
              <w:t>2.</w:t>
            </w:r>
            <w:r>
              <w:rPr>
                <w:rFonts w:ascii="仿宋_GB2312" w:hAnsi="仿宋_GB2312" w:cs="仿宋_GB2312" w:eastAsia="仿宋_GB2312"/>
              </w:rPr>
              <w:t>最高转速：≥6000r/min；</w:t>
            </w:r>
          </w:p>
          <w:p>
            <w:pPr>
              <w:pStyle w:val="null3"/>
              <w:jc w:val="left"/>
            </w:pPr>
            <w:r>
              <w:rPr>
                <w:rFonts w:ascii="仿宋_GB2312" w:hAnsi="仿宋_GB2312" w:cs="仿宋_GB2312" w:eastAsia="仿宋_GB2312"/>
              </w:rPr>
              <w:t>3.</w:t>
            </w:r>
            <w:r>
              <w:rPr>
                <w:rFonts w:ascii="仿宋_GB2312" w:hAnsi="仿宋_GB2312" w:cs="仿宋_GB2312" w:eastAsia="仿宋_GB2312"/>
              </w:rPr>
              <w:t>最大容量：≥4×400ml；</w:t>
            </w:r>
          </w:p>
          <w:p>
            <w:pPr>
              <w:pStyle w:val="null3"/>
              <w:jc w:val="left"/>
            </w:pPr>
            <w:r>
              <w:rPr>
                <w:rFonts w:ascii="仿宋_GB2312" w:hAnsi="仿宋_GB2312" w:cs="仿宋_GB2312" w:eastAsia="仿宋_GB2312"/>
              </w:rPr>
              <w:t>4.</w:t>
            </w:r>
            <w:r>
              <w:rPr>
                <w:rFonts w:ascii="仿宋_GB2312" w:hAnsi="仿宋_GB2312" w:cs="仿宋_GB2312" w:eastAsia="仿宋_GB2312"/>
              </w:rPr>
              <w:t>最大离心力：≥4700×g；</w:t>
            </w:r>
          </w:p>
          <w:p>
            <w:pPr>
              <w:pStyle w:val="null3"/>
              <w:jc w:val="left"/>
            </w:pPr>
            <w:r>
              <w:rPr>
                <w:rFonts w:ascii="仿宋_GB2312" w:hAnsi="仿宋_GB2312" w:cs="仿宋_GB2312" w:eastAsia="仿宋_GB2312"/>
              </w:rPr>
              <w:t>5.</w:t>
            </w:r>
            <w:r>
              <w:rPr>
                <w:rFonts w:ascii="仿宋_GB2312" w:hAnsi="仿宋_GB2312" w:cs="仿宋_GB2312" w:eastAsia="仿宋_GB2312"/>
              </w:rPr>
              <w:t>转速精度：±10r/min；</w:t>
            </w:r>
          </w:p>
          <w:p>
            <w:pPr>
              <w:pStyle w:val="null3"/>
              <w:jc w:val="left"/>
            </w:pPr>
            <w:r>
              <w:rPr>
                <w:rFonts w:ascii="仿宋_GB2312" w:hAnsi="仿宋_GB2312" w:cs="仿宋_GB2312" w:eastAsia="仿宋_GB2312"/>
              </w:rPr>
              <w:t>6.</w:t>
            </w:r>
            <w:r>
              <w:rPr>
                <w:rFonts w:ascii="仿宋_GB2312" w:hAnsi="仿宋_GB2312" w:cs="仿宋_GB2312" w:eastAsia="仿宋_GB2312"/>
              </w:rPr>
              <w:t>定时范围1min～99min；</w:t>
            </w:r>
          </w:p>
          <w:p>
            <w:pPr>
              <w:pStyle w:val="null3"/>
              <w:jc w:val="left"/>
            </w:pPr>
            <w:r>
              <w:rPr>
                <w:rFonts w:ascii="仿宋_GB2312" w:hAnsi="仿宋_GB2312" w:cs="仿宋_GB2312" w:eastAsia="仿宋_GB2312"/>
              </w:rPr>
              <w:t>7.</w:t>
            </w:r>
            <w:r>
              <w:rPr>
                <w:rFonts w:ascii="仿宋_GB2312" w:hAnsi="仿宋_GB2312" w:cs="仿宋_GB2312" w:eastAsia="仿宋_GB2312"/>
              </w:rPr>
              <w:t>噪音：≤60dB；</w:t>
            </w:r>
          </w:p>
          <w:p>
            <w:pPr>
              <w:pStyle w:val="null3"/>
              <w:jc w:val="left"/>
            </w:pPr>
            <w:r>
              <w:rPr>
                <w:rFonts w:ascii="仿宋_GB2312" w:hAnsi="仿宋_GB2312" w:cs="仿宋_GB2312" w:eastAsia="仿宋_GB2312"/>
              </w:rPr>
              <w:t>8.</w:t>
            </w:r>
            <w:r>
              <w:rPr>
                <w:rFonts w:ascii="仿宋_GB2312" w:hAnsi="仿宋_GB2312" w:cs="仿宋_GB2312" w:eastAsia="仿宋_GB2312"/>
              </w:rPr>
              <w:t>适配转子：水平转子4×18×2～5ml，转速≥4000r/min，离心力＞2700×g；</w:t>
            </w:r>
          </w:p>
          <w:p>
            <w:pPr>
              <w:pStyle w:val="null3"/>
              <w:jc w:val="left"/>
            </w:pPr>
            <w:r>
              <w:rPr>
                <w:rFonts w:ascii="仿宋_GB2312" w:hAnsi="仿宋_GB2312" w:cs="仿宋_GB2312" w:eastAsia="仿宋_GB2312"/>
              </w:rPr>
              <w:t>9.</w:t>
            </w:r>
            <w:r>
              <w:rPr>
                <w:rFonts w:ascii="仿宋_GB2312" w:hAnsi="仿宋_GB2312" w:cs="仿宋_GB2312" w:eastAsia="仿宋_GB2312"/>
              </w:rPr>
              <w:t>微机控制，交流变频电机；</w:t>
            </w:r>
          </w:p>
          <w:p>
            <w:pPr>
              <w:pStyle w:val="null3"/>
              <w:jc w:val="left"/>
            </w:pPr>
            <w:r>
              <w:rPr>
                <w:rFonts w:ascii="仿宋_GB2312" w:hAnsi="仿宋_GB2312" w:cs="仿宋_GB2312" w:eastAsia="仿宋_GB2312"/>
              </w:rPr>
              <w:t>10.</w:t>
            </w:r>
            <w:r>
              <w:rPr>
                <w:rFonts w:ascii="仿宋_GB2312" w:hAnsi="仿宋_GB2312" w:cs="仿宋_GB2312" w:eastAsia="仿宋_GB2312"/>
              </w:rPr>
              <w:t>数字或者彩屏显示，升降速≥10档，运行过程中可任意调整参数；</w:t>
            </w:r>
          </w:p>
          <w:p>
            <w:pPr>
              <w:pStyle w:val="null3"/>
              <w:jc w:val="left"/>
            </w:pPr>
            <w:r>
              <w:rPr>
                <w:rFonts w:ascii="仿宋_GB2312" w:hAnsi="仿宋_GB2312" w:cs="仿宋_GB2312" w:eastAsia="仿宋_GB2312"/>
              </w:rPr>
              <w:t>11.</w:t>
            </w:r>
            <w:r>
              <w:rPr>
                <w:rFonts w:ascii="仿宋_GB2312" w:hAnsi="仿宋_GB2312" w:cs="仿宋_GB2312" w:eastAsia="仿宋_GB2312"/>
              </w:rPr>
              <w:t>门盖机身双层密封圈；</w:t>
            </w:r>
          </w:p>
          <w:p>
            <w:pPr>
              <w:pStyle w:val="null3"/>
              <w:jc w:val="left"/>
            </w:pPr>
            <w:r>
              <w:rPr>
                <w:rFonts w:ascii="仿宋_GB2312" w:hAnsi="仿宋_GB2312" w:cs="仿宋_GB2312" w:eastAsia="仿宋_GB2312"/>
              </w:rPr>
              <w:t>12.</w:t>
            </w:r>
            <w:r>
              <w:rPr>
                <w:rFonts w:ascii="仿宋_GB2312" w:hAnsi="仿宋_GB2312" w:cs="仿宋_GB2312" w:eastAsia="仿宋_GB2312"/>
              </w:rPr>
              <w:t>具有超速、超温、不平衡、电子安全门锁等多级保护功能；</w:t>
            </w:r>
          </w:p>
          <w:p>
            <w:pPr>
              <w:pStyle w:val="null3"/>
              <w:jc w:val="left"/>
            </w:pPr>
            <w:r>
              <w:rPr>
                <w:rFonts w:ascii="仿宋_GB2312" w:hAnsi="仿宋_GB2312" w:cs="仿宋_GB2312" w:eastAsia="仿宋_GB2312"/>
              </w:rPr>
              <w:t>13.</w:t>
            </w:r>
            <w:r>
              <w:rPr>
                <w:rFonts w:ascii="仿宋_GB2312" w:hAnsi="仿宋_GB2312" w:cs="仿宋_GB2312" w:eastAsia="仿宋_GB2312"/>
              </w:rPr>
              <w:t>可选配多种不同的转子。</w:t>
            </w:r>
          </w:p>
          <w:p>
            <w:pPr>
              <w:pStyle w:val="null3"/>
              <w:jc w:val="left"/>
            </w:pPr>
            <w:r>
              <w:rPr>
                <w:rFonts w:ascii="仿宋_GB2312" w:hAnsi="仿宋_GB2312" w:cs="仿宋_GB2312" w:eastAsia="仿宋_GB2312"/>
              </w:rPr>
              <w:t>（三）全自动酶标洗板机 1台</w:t>
            </w:r>
          </w:p>
          <w:p>
            <w:pPr>
              <w:pStyle w:val="null3"/>
              <w:jc w:val="left"/>
            </w:pPr>
            <w:r>
              <w:rPr>
                <w:rFonts w:ascii="仿宋_GB2312" w:hAnsi="仿宋_GB2312" w:cs="仿宋_GB2312" w:eastAsia="仿宋_GB2312"/>
              </w:rPr>
              <w:t>1.</w:t>
            </w:r>
            <w:r>
              <w:rPr>
                <w:rFonts w:ascii="仿宋_GB2312" w:hAnsi="仿宋_GB2312" w:cs="仿宋_GB2312" w:eastAsia="仿宋_GB2312"/>
              </w:rPr>
              <w:t>微电脑控制，全中文操作，大屏幕LCD液晶显示，单屏显示所有洗板信息；</w:t>
            </w:r>
          </w:p>
          <w:p>
            <w:pPr>
              <w:pStyle w:val="null3"/>
              <w:jc w:val="left"/>
            </w:pPr>
            <w:r>
              <w:rPr>
                <w:rFonts w:ascii="仿宋_GB2312" w:hAnsi="仿宋_GB2312" w:cs="仿宋_GB2312" w:eastAsia="仿宋_GB2312"/>
              </w:rPr>
              <w:t>2.</w:t>
            </w:r>
            <w:r>
              <w:rPr>
                <w:rFonts w:ascii="仿宋_GB2312" w:hAnsi="仿宋_GB2312" w:cs="仿宋_GB2312" w:eastAsia="仿宋_GB2312"/>
              </w:rPr>
              <w:t>适用于不同的酶标板型如平底、V型、U型；</w:t>
            </w:r>
          </w:p>
          <w:p>
            <w:pPr>
              <w:pStyle w:val="null3"/>
              <w:jc w:val="left"/>
            </w:pPr>
            <w:r>
              <w:rPr>
                <w:rFonts w:ascii="仿宋_GB2312" w:hAnsi="仿宋_GB2312" w:cs="仿宋_GB2312" w:eastAsia="仿宋_GB2312"/>
              </w:rPr>
              <w:t>3.</w:t>
            </w:r>
            <w:r>
              <w:rPr>
                <w:rFonts w:ascii="仿宋_GB2312" w:hAnsi="仿宋_GB2312" w:cs="仿宋_GB2312" w:eastAsia="仿宋_GB2312"/>
              </w:rPr>
              <w:t>具有智能化的自动冲洗维护程序；</w:t>
            </w:r>
          </w:p>
          <w:p>
            <w:pPr>
              <w:pStyle w:val="null3"/>
              <w:jc w:val="left"/>
            </w:pPr>
            <w:r>
              <w:rPr>
                <w:rFonts w:ascii="仿宋_GB2312" w:hAnsi="仿宋_GB2312" w:cs="仿宋_GB2312" w:eastAsia="仿宋_GB2312"/>
              </w:rPr>
              <w:t>4.</w:t>
            </w:r>
            <w:r>
              <w:rPr>
                <w:rFonts w:ascii="仿宋_GB2312" w:hAnsi="仿宋_GB2312" w:cs="仿宋_GB2312" w:eastAsia="仿宋_GB2312"/>
              </w:rPr>
              <w:t>具有洗液不足和废液满自动报警功能，并能设置洗液间的自动或手动切换;</w:t>
            </w:r>
          </w:p>
          <w:p>
            <w:pPr>
              <w:pStyle w:val="null3"/>
              <w:jc w:val="left"/>
            </w:pPr>
            <w:r>
              <w:rPr>
                <w:rFonts w:ascii="仿宋_GB2312" w:hAnsi="仿宋_GB2312" w:cs="仿宋_GB2312" w:eastAsia="仿宋_GB2312"/>
              </w:rPr>
              <w:t>5.</w:t>
            </w:r>
            <w:r>
              <w:rPr>
                <w:rFonts w:ascii="仿宋_GB2312" w:hAnsi="仿宋_GB2312" w:cs="仿宋_GB2312" w:eastAsia="仿宋_GB2312"/>
              </w:rPr>
              <w:t>清洗通道：≥96头；</w:t>
            </w:r>
          </w:p>
          <w:p>
            <w:pPr>
              <w:pStyle w:val="null3"/>
              <w:jc w:val="left"/>
            </w:pPr>
            <w:r>
              <w:rPr>
                <w:rFonts w:ascii="仿宋_GB2312" w:hAnsi="仿宋_GB2312" w:cs="仿宋_GB2312" w:eastAsia="仿宋_GB2312"/>
              </w:rPr>
              <w:t>6.</w:t>
            </w:r>
            <w:r>
              <w:rPr>
                <w:rFonts w:ascii="仿宋_GB2312" w:hAnsi="仿宋_GB2312" w:cs="仿宋_GB2312" w:eastAsia="仿宋_GB2312"/>
              </w:rPr>
              <w:t>残留量：≤1.5ul；</w:t>
            </w:r>
          </w:p>
          <w:p>
            <w:pPr>
              <w:pStyle w:val="null3"/>
              <w:jc w:val="left"/>
            </w:pPr>
            <w:r>
              <w:rPr>
                <w:rFonts w:ascii="仿宋_GB2312" w:hAnsi="仿宋_GB2312" w:cs="仿宋_GB2312" w:eastAsia="仿宋_GB2312"/>
              </w:rPr>
              <w:t>7.</w:t>
            </w:r>
            <w:r>
              <w:rPr>
                <w:rFonts w:ascii="仿宋_GB2312" w:hAnsi="仿宋_GB2312" w:cs="仿宋_GB2312" w:eastAsia="仿宋_GB2312"/>
              </w:rPr>
              <w:t>洗液桶：≥3个，每个≥4L；</w:t>
            </w:r>
          </w:p>
          <w:p>
            <w:pPr>
              <w:pStyle w:val="null3"/>
              <w:jc w:val="left"/>
            </w:pPr>
            <w:r>
              <w:rPr>
                <w:rFonts w:ascii="仿宋_GB2312" w:hAnsi="仿宋_GB2312" w:cs="仿宋_GB2312" w:eastAsia="仿宋_GB2312"/>
              </w:rPr>
              <w:t>8.</w:t>
            </w:r>
            <w:r>
              <w:rPr>
                <w:rFonts w:ascii="仿宋_GB2312" w:hAnsi="仿宋_GB2312" w:cs="仿宋_GB2312" w:eastAsia="仿宋_GB2312"/>
              </w:rPr>
              <w:t>洗板程序≥100种，支持单板和双板；</w:t>
            </w:r>
          </w:p>
          <w:p>
            <w:pPr>
              <w:pStyle w:val="null3"/>
              <w:jc w:val="left"/>
            </w:pPr>
            <w:r>
              <w:rPr>
                <w:rFonts w:ascii="仿宋_GB2312" w:hAnsi="仿宋_GB2312" w:cs="仿宋_GB2312" w:eastAsia="仿宋_GB2312"/>
              </w:rPr>
              <w:t>9.</w:t>
            </w:r>
            <w:r>
              <w:rPr>
                <w:rFonts w:ascii="仿宋_GB2312" w:hAnsi="仿宋_GB2312" w:cs="仿宋_GB2312" w:eastAsia="仿宋_GB2312"/>
              </w:rPr>
              <w:t>清洗方式：整板、任意条数组合洗，不需补孔；</w:t>
            </w:r>
          </w:p>
          <w:p>
            <w:pPr>
              <w:pStyle w:val="null3"/>
              <w:jc w:val="left"/>
            </w:pPr>
            <w:r>
              <w:rPr>
                <w:rFonts w:ascii="仿宋_GB2312" w:hAnsi="仿宋_GB2312" w:cs="仿宋_GB2312" w:eastAsia="仿宋_GB2312"/>
              </w:rPr>
              <w:t>10.</w:t>
            </w:r>
            <w:r>
              <w:rPr>
                <w:rFonts w:ascii="仿宋_GB2312" w:hAnsi="仿宋_GB2312" w:cs="仿宋_GB2312" w:eastAsia="仿宋_GB2312"/>
              </w:rPr>
              <w:t>具有孵育功能；</w:t>
            </w:r>
          </w:p>
          <w:p>
            <w:pPr>
              <w:pStyle w:val="null3"/>
            </w:pPr>
            <w:r>
              <w:rPr>
                <w:rFonts w:ascii="仿宋_GB2312" w:hAnsi="仿宋_GB2312" w:cs="仿宋_GB2312" w:eastAsia="仿宋_GB2312"/>
              </w:rPr>
              <w:t>11.设备设计使用年限：≥6年。</w:t>
            </w:r>
          </w:p>
          <w:p>
            <w:pPr>
              <w:pStyle w:val="null3"/>
            </w:pPr>
            <w:r>
              <w:rPr>
                <w:rFonts w:ascii="仿宋_GB2312" w:hAnsi="仿宋_GB2312" w:cs="仿宋_GB2312" w:eastAsia="仿宋_GB2312"/>
              </w:rPr>
              <w:t>五、配置要求</w:t>
            </w:r>
          </w:p>
          <w:tbl>
            <w:tblPr>
              <w:tblInd w:type="dxa" w:w="135"/>
              <w:tblBorders>
                <w:top w:val="none" w:color="000000" w:sz="4"/>
                <w:left w:val="none" w:color="000000" w:sz="4"/>
                <w:bottom w:val="none" w:color="000000" w:sz="4"/>
                <w:right w:val="none" w:color="000000" w:sz="4"/>
                <w:insideH w:val="none"/>
                <w:insideV w:val="none"/>
              </w:tblBorders>
            </w:tblPr>
            <w:tblGrid>
              <w:gridCol w:w="201"/>
              <w:gridCol w:w="1079"/>
              <w:gridCol w:w="552"/>
              <w:gridCol w:w="627"/>
            </w:tblGrid>
            <w:tr>
              <w:tc>
                <w:tcPr>
                  <w:tcW w:type="dxa" w:w="201"/>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 xml:space="preserve"> </w:t>
                  </w:r>
                </w:p>
              </w:tc>
              <w:tc>
                <w:tcPr>
                  <w:tcW w:type="dxa" w:w="1079"/>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名称</w:t>
                  </w:r>
                </w:p>
              </w:tc>
              <w:tc>
                <w:tcPr>
                  <w:tcW w:type="dxa" w:w="552"/>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数量</w:t>
                  </w:r>
                </w:p>
              </w:tc>
              <w:tc>
                <w:tcPr>
                  <w:tcW w:type="dxa" w:w="627"/>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单位</w:t>
                  </w:r>
                </w:p>
              </w:tc>
            </w:tr>
            <w:tr>
              <w:tc>
                <w:tcPr>
                  <w:tcW w:type="dxa" w:w="20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1</w:t>
                  </w:r>
                </w:p>
              </w:tc>
              <w:tc>
                <w:tcPr>
                  <w:tcW w:type="dxa" w:w="107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全自动酶免分析仪</w:t>
                  </w:r>
                </w:p>
              </w:tc>
              <w:tc>
                <w:tcPr>
                  <w:tcW w:type="dxa" w:w="55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1</w:t>
                  </w:r>
                </w:p>
              </w:tc>
              <w:tc>
                <w:tcPr>
                  <w:tcW w:type="dxa" w:w="62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套</w:t>
                  </w:r>
                </w:p>
              </w:tc>
            </w:tr>
            <w:tr>
              <w:tc>
                <w:tcPr>
                  <w:tcW w:type="dxa" w:w="20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 xml:space="preserve"> </w:t>
                  </w:r>
                </w:p>
              </w:tc>
              <w:tc>
                <w:tcPr>
                  <w:tcW w:type="dxa" w:w="10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rPr>
                    <w:t>洗液桶</w:t>
                  </w:r>
                </w:p>
              </w:tc>
              <w:tc>
                <w:tcPr>
                  <w:tcW w:type="dxa" w:w="55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rPr>
                    <w:t>4</w:t>
                  </w:r>
                </w:p>
              </w:tc>
              <w:tc>
                <w:tcPr>
                  <w:tcW w:type="dxa" w:w="62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个</w:t>
                  </w:r>
                </w:p>
              </w:tc>
            </w:tr>
            <w:tr>
              <w:tc>
                <w:tcPr>
                  <w:tcW w:type="dxa" w:w="20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 xml:space="preserve"> </w:t>
                  </w:r>
                </w:p>
              </w:tc>
              <w:tc>
                <w:tcPr>
                  <w:tcW w:type="dxa" w:w="10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rPr>
                    <w:t>吸样枪头</w:t>
                  </w:r>
                </w:p>
              </w:tc>
              <w:tc>
                <w:tcPr>
                  <w:tcW w:type="dxa" w:w="55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rPr>
                    <w:t>10000</w:t>
                  </w:r>
                </w:p>
              </w:tc>
              <w:tc>
                <w:tcPr>
                  <w:tcW w:type="dxa" w:w="62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个</w:t>
                  </w:r>
                </w:p>
              </w:tc>
            </w:tr>
            <w:tr>
              <w:tc>
                <w:tcPr>
                  <w:tcW w:type="dxa" w:w="20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2</w:t>
                  </w:r>
                </w:p>
              </w:tc>
              <w:tc>
                <w:tcPr>
                  <w:tcW w:type="dxa" w:w="107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离心机</w:t>
                  </w:r>
                </w:p>
              </w:tc>
              <w:tc>
                <w:tcPr>
                  <w:tcW w:type="dxa" w:w="55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2</w:t>
                  </w:r>
                </w:p>
              </w:tc>
              <w:tc>
                <w:tcPr>
                  <w:tcW w:type="dxa" w:w="62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台</w:t>
                  </w:r>
                </w:p>
              </w:tc>
            </w:tr>
            <w:tr>
              <w:tc>
                <w:tcPr>
                  <w:tcW w:type="dxa" w:w="20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3</w:t>
                  </w:r>
                </w:p>
              </w:tc>
              <w:tc>
                <w:tcPr>
                  <w:tcW w:type="dxa" w:w="107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全自动酶标洗板机</w:t>
                  </w:r>
                </w:p>
              </w:tc>
              <w:tc>
                <w:tcPr>
                  <w:tcW w:type="dxa" w:w="55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1</w:t>
                  </w:r>
                </w:p>
              </w:tc>
              <w:tc>
                <w:tcPr>
                  <w:tcW w:type="dxa" w:w="62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台</w:t>
                  </w:r>
                </w:p>
              </w:tc>
            </w:tr>
          </w:tbl>
          <w:p>
            <w:pPr>
              <w:pStyle w:val="null3"/>
            </w:pPr>
            <w:r>
              <w:rPr>
                <w:rFonts w:ascii="仿宋_GB2312" w:hAnsi="仿宋_GB2312" w:cs="仿宋_GB2312" w:eastAsia="仿宋_GB2312"/>
              </w:rPr>
              <w:t>提供投标产品技术证明材料（包括但不限于技术白皮书、技术说明书、产品彩页、检测报告等）</w:t>
            </w:r>
          </w:p>
          <w:p>
            <w:pPr>
              <w:pStyle w:val="null3"/>
            </w:pPr>
            <w:r>
              <w:rPr>
                <w:rFonts w:ascii="仿宋_GB2312" w:hAnsi="仿宋_GB2312" w:cs="仿宋_GB2312" w:eastAsia="仿宋_GB2312"/>
                <w:b/>
              </w:rPr>
              <w:t>精子质量分析仪</w:t>
            </w:r>
          </w:p>
          <w:p>
            <w:pPr>
              <w:pStyle w:val="null3"/>
            </w:pPr>
            <w:r>
              <w:rPr>
                <w:rFonts w:ascii="仿宋_GB2312" w:hAnsi="仿宋_GB2312" w:cs="仿宋_GB2312" w:eastAsia="仿宋_GB2312"/>
              </w:rPr>
              <w:t>数量：壹套</w:t>
            </w:r>
          </w:p>
          <w:p>
            <w:pPr>
              <w:pStyle w:val="null3"/>
            </w:pPr>
            <w:r>
              <w:rPr>
                <w:rFonts w:ascii="仿宋_GB2312" w:hAnsi="仿宋_GB2312" w:cs="仿宋_GB2312" w:eastAsia="仿宋_GB2312"/>
              </w:rPr>
              <w:t>设备用途：用于精子质量的分析，可对人体精子的浓度、活力、形态、DNA碎片进行体外检测分析。</w:t>
            </w:r>
          </w:p>
          <w:p>
            <w:pPr>
              <w:pStyle w:val="null3"/>
              <w:jc w:val="left"/>
            </w:pPr>
            <w:r>
              <w:rPr>
                <w:rFonts w:ascii="仿宋_GB2312" w:hAnsi="仿宋_GB2312" w:cs="仿宋_GB2312" w:eastAsia="仿宋_GB2312"/>
              </w:rPr>
              <w:t>主要技术规格及系统概述：</w:t>
            </w:r>
          </w:p>
          <w:p>
            <w:pPr>
              <w:pStyle w:val="null3"/>
              <w:jc w:val="left"/>
            </w:pPr>
            <w:r>
              <w:rPr>
                <w:rFonts w:ascii="仿宋_GB2312" w:hAnsi="仿宋_GB2312" w:cs="仿宋_GB2312" w:eastAsia="仿宋_GB2312"/>
              </w:rPr>
              <w:t>1.</w:t>
            </w:r>
            <w:r>
              <w:rPr>
                <w:rFonts w:ascii="仿宋_GB2312" w:hAnsi="仿宋_GB2312" w:cs="仿宋_GB2312" w:eastAsia="仿宋_GB2312"/>
              </w:rPr>
              <w:t>整机要求：</w:t>
            </w:r>
          </w:p>
          <w:p>
            <w:pPr>
              <w:pStyle w:val="null3"/>
              <w:jc w:val="left"/>
            </w:pPr>
            <w:r>
              <w:rPr>
                <w:rFonts w:ascii="仿宋_GB2312" w:hAnsi="仿宋_GB2312" w:cs="仿宋_GB2312" w:eastAsia="仿宋_GB2312"/>
              </w:rPr>
              <w:t>（1）设备一体化：内置生物显微镜、计算机系统、温控系统、电源系统、精子计数池、精子质量分析管理系统软件等；</w:t>
            </w:r>
          </w:p>
          <w:p>
            <w:pPr>
              <w:pStyle w:val="null3"/>
              <w:jc w:val="left"/>
            </w:pPr>
            <w:r>
              <w:rPr>
                <w:rFonts w:ascii="仿宋_GB2312" w:hAnsi="仿宋_GB2312" w:cs="仿宋_GB2312" w:eastAsia="仿宋_GB2312"/>
              </w:rPr>
              <w:t>（2）检测项目：精子检测动力学分析、形态学分析、DNA损伤分析功能等；</w:t>
            </w:r>
          </w:p>
          <w:p>
            <w:pPr>
              <w:pStyle w:val="null3"/>
              <w:jc w:val="left"/>
            </w:pPr>
            <w:r>
              <w:rPr>
                <w:rFonts w:ascii="仿宋_GB2312" w:hAnsi="仿宋_GB2312" w:cs="仿宋_GB2312" w:eastAsia="仿宋_GB2312"/>
              </w:rPr>
              <w:t>（3）生物显微镜为电动相衬显微镜，具备独立的医疗器械注册证（非改装）；</w:t>
            </w:r>
          </w:p>
          <w:p>
            <w:pPr>
              <w:pStyle w:val="null3"/>
              <w:jc w:val="left"/>
            </w:pPr>
            <w:r>
              <w:rPr>
                <w:rFonts w:ascii="仿宋_GB2312" w:hAnsi="仿宋_GB2312" w:cs="仿宋_GB2312" w:eastAsia="仿宋_GB2312"/>
              </w:rPr>
              <w:t>（5）设备显微镜、恒温控制系统、质控功能、全自动扫描控制系统为一体封闭设计；</w:t>
            </w:r>
          </w:p>
          <w:p>
            <w:pPr>
              <w:pStyle w:val="null3"/>
              <w:jc w:val="left"/>
            </w:pPr>
            <w:r>
              <w:rPr>
                <w:rFonts w:ascii="仿宋_GB2312" w:hAnsi="仿宋_GB2312" w:cs="仿宋_GB2312" w:eastAsia="仿宋_GB2312"/>
              </w:rPr>
              <w:t>（6）可编辑报告内容与形式可自定义输出；</w:t>
            </w:r>
          </w:p>
          <w:p>
            <w:pPr>
              <w:pStyle w:val="null3"/>
              <w:jc w:val="left"/>
            </w:pPr>
            <w:r>
              <w:rPr>
                <w:rFonts w:ascii="仿宋_GB2312" w:hAnsi="仿宋_GB2312" w:cs="仿宋_GB2312" w:eastAsia="仿宋_GB2312"/>
              </w:rPr>
              <w:t>2.</w:t>
            </w:r>
            <w:r>
              <w:rPr>
                <w:rFonts w:ascii="仿宋_GB2312" w:hAnsi="仿宋_GB2312" w:cs="仿宋_GB2312" w:eastAsia="仿宋_GB2312"/>
              </w:rPr>
              <w:t>显微镜</w:t>
            </w:r>
          </w:p>
          <w:p>
            <w:pPr>
              <w:pStyle w:val="null3"/>
              <w:jc w:val="left"/>
            </w:pPr>
            <w:r>
              <w:rPr>
                <w:rFonts w:ascii="仿宋_GB2312" w:hAnsi="仿宋_GB2312" w:cs="仿宋_GB2312" w:eastAsia="仿宋_GB2312"/>
              </w:rPr>
              <w:t>（1）具有显微镜载物平台X、Y电动控制自动扫描功能，显微镜Z电动控制自动对焦功能；</w:t>
            </w:r>
          </w:p>
          <w:p>
            <w:pPr>
              <w:pStyle w:val="null3"/>
              <w:jc w:val="left"/>
            </w:pPr>
            <w:r>
              <w:rPr>
                <w:rFonts w:ascii="仿宋_GB2312" w:hAnsi="仿宋_GB2312" w:cs="仿宋_GB2312" w:eastAsia="仿宋_GB2312"/>
              </w:rPr>
              <w:t>（2）具有显微镜自动调光功能、显微镜物镜转换器电动控制自动切换功能；</w:t>
            </w:r>
          </w:p>
          <w:p>
            <w:pPr>
              <w:pStyle w:val="null3"/>
              <w:jc w:val="left"/>
            </w:pPr>
            <w:r>
              <w:rPr>
                <w:rFonts w:ascii="仿宋_GB2312" w:hAnsi="仿宋_GB2312" w:cs="仿宋_GB2312" w:eastAsia="仿宋_GB2312"/>
              </w:rPr>
              <w:t>（3）显微镜电动控制自动滴油功能；</w:t>
            </w:r>
          </w:p>
          <w:p>
            <w:pPr>
              <w:pStyle w:val="null3"/>
              <w:jc w:val="left"/>
            </w:pPr>
            <w:r>
              <w:rPr>
                <w:rFonts w:ascii="仿宋_GB2312" w:hAnsi="仿宋_GB2312" w:cs="仿宋_GB2312" w:eastAsia="仿宋_GB2312"/>
              </w:rPr>
              <w:t>（4）显微镜可自动扫描、自动聚焦采集精子动态视频与静态图像，拍摄图像视野可追溯坐标；（提供检测报告）</w:t>
            </w:r>
          </w:p>
          <w:p>
            <w:pPr>
              <w:pStyle w:val="null3"/>
              <w:jc w:val="left"/>
            </w:pPr>
            <w:r>
              <w:rPr>
                <w:rFonts w:ascii="仿宋_GB2312" w:hAnsi="仿宋_GB2312" w:cs="仿宋_GB2312" w:eastAsia="仿宋_GB2312"/>
              </w:rPr>
              <w:t>（5）在软件控制下，显微镜可自动物镜转换，其重复性误差≤0.015mm；</w:t>
            </w:r>
          </w:p>
          <w:p>
            <w:pPr>
              <w:pStyle w:val="null3"/>
              <w:jc w:val="left"/>
            </w:pPr>
            <w:r>
              <w:rPr>
                <w:rFonts w:ascii="仿宋_GB2312" w:hAnsi="仿宋_GB2312" w:cs="仿宋_GB2312" w:eastAsia="仿宋_GB2312"/>
              </w:rPr>
              <w:t>（6）在软件控制下，载物台自动在XYZ方向移动，载物台移动最小步距：X轴≤0.002mm, Y轴≤0.002mm；</w:t>
            </w:r>
          </w:p>
          <w:p>
            <w:pPr>
              <w:pStyle w:val="null3"/>
              <w:jc w:val="left"/>
            </w:pPr>
            <w:r>
              <w:rPr>
                <w:rFonts w:ascii="仿宋_GB2312" w:hAnsi="仿宋_GB2312" w:cs="仿宋_GB2312" w:eastAsia="仿宋_GB2312"/>
              </w:rPr>
              <w:t>（7）光源自动调节；</w:t>
            </w:r>
          </w:p>
          <w:p>
            <w:pPr>
              <w:pStyle w:val="null3"/>
              <w:jc w:val="left"/>
            </w:pPr>
            <w:r>
              <w:rPr>
                <w:rFonts w:ascii="仿宋_GB2312" w:hAnsi="仿宋_GB2312" w:cs="仿宋_GB2312" w:eastAsia="仿宋_GB2312"/>
              </w:rPr>
              <w:t>3.</w:t>
            </w:r>
            <w:r>
              <w:rPr>
                <w:rFonts w:ascii="仿宋_GB2312" w:hAnsi="仿宋_GB2312" w:cs="仿宋_GB2312" w:eastAsia="仿宋_GB2312"/>
              </w:rPr>
              <w:t>彩色专业相机：≥500万像素，≥175fps；</w:t>
            </w:r>
          </w:p>
          <w:p>
            <w:pPr>
              <w:pStyle w:val="null3"/>
              <w:jc w:val="left"/>
            </w:pPr>
            <w:r>
              <w:rPr>
                <w:rFonts w:ascii="仿宋_GB2312" w:hAnsi="仿宋_GB2312" w:cs="仿宋_GB2312" w:eastAsia="仿宋_GB2312"/>
              </w:rPr>
              <w:t>4.</w:t>
            </w:r>
            <w:r>
              <w:rPr>
                <w:rFonts w:ascii="仿宋_GB2312" w:hAnsi="仿宋_GB2312" w:cs="仿宋_GB2312" w:eastAsia="仿宋_GB2312"/>
              </w:rPr>
              <w:t>恒温控制功能</w:t>
            </w:r>
          </w:p>
          <w:p>
            <w:pPr>
              <w:pStyle w:val="null3"/>
              <w:jc w:val="left"/>
            </w:pPr>
            <w:r>
              <w:rPr>
                <w:rFonts w:ascii="仿宋_GB2312" w:hAnsi="仿宋_GB2312" w:cs="仿宋_GB2312" w:eastAsia="仿宋_GB2312"/>
              </w:rPr>
              <w:t>（1）温控范围：37.0℃±0.5℃，软件显示温度与恒温板实测温度的误差为≤0.2℃；</w:t>
            </w:r>
          </w:p>
          <w:p>
            <w:pPr>
              <w:pStyle w:val="null3"/>
              <w:jc w:val="left"/>
            </w:pPr>
            <w:r>
              <w:rPr>
                <w:rFonts w:ascii="仿宋_GB2312" w:hAnsi="仿宋_GB2312" w:cs="仿宋_GB2312" w:eastAsia="仿宋_GB2312"/>
              </w:rPr>
              <w:t>（2）超过36.5～38.5℃范围，自动分析功能停止；</w:t>
            </w:r>
          </w:p>
          <w:p>
            <w:pPr>
              <w:pStyle w:val="null3"/>
              <w:jc w:val="left"/>
            </w:pPr>
            <w:r>
              <w:rPr>
                <w:rFonts w:ascii="仿宋_GB2312" w:hAnsi="仿宋_GB2312" w:cs="仿宋_GB2312" w:eastAsia="仿宋_GB2312"/>
              </w:rPr>
              <w:t>5.</w:t>
            </w:r>
            <w:r>
              <w:rPr>
                <w:rFonts w:ascii="仿宋_GB2312" w:hAnsi="仿宋_GB2312" w:cs="仿宋_GB2312" w:eastAsia="仿宋_GB2312"/>
              </w:rPr>
              <w:t>精子动力学分析（提供产品检验报告）</w:t>
            </w:r>
          </w:p>
          <w:p>
            <w:pPr>
              <w:pStyle w:val="null3"/>
              <w:jc w:val="left"/>
            </w:pPr>
            <w:r>
              <w:rPr>
                <w:rFonts w:ascii="仿宋_GB2312" w:hAnsi="仿宋_GB2312" w:cs="仿宋_GB2312" w:eastAsia="仿宋_GB2312"/>
              </w:rPr>
              <w:t>（1）可在明场和相衬条件下进行动力学分析，自动扫描并自动分析视野，精子自动识别，其符合率≥95%；</w:t>
            </w:r>
          </w:p>
          <w:p>
            <w:pPr>
              <w:pStyle w:val="null3"/>
              <w:jc w:val="left"/>
            </w:pPr>
            <w:r>
              <w:rPr>
                <w:rFonts w:ascii="仿宋_GB2312" w:hAnsi="仿宋_GB2312" w:cs="仿宋_GB2312" w:eastAsia="仿宋_GB2312"/>
              </w:rPr>
              <w:t>（2）可在明场和相衬条件下，进行精子活力a级、b级、NP、IM、PR分级及总活力（PR+NP）分级，其符合率均≥99%；</w:t>
            </w:r>
          </w:p>
          <w:p>
            <w:pPr>
              <w:pStyle w:val="null3"/>
              <w:jc w:val="left"/>
            </w:pPr>
            <w:r>
              <w:rPr>
                <w:rFonts w:ascii="仿宋_GB2312" w:hAnsi="仿宋_GB2312" w:cs="仿宋_GB2312" w:eastAsia="仿宋_GB2312"/>
              </w:rPr>
              <w:t>（3）可在明场和相衬条件下，进行精子浓度分析，其符合率≥90%；</w:t>
            </w:r>
          </w:p>
          <w:p>
            <w:pPr>
              <w:pStyle w:val="null3"/>
              <w:jc w:val="left"/>
            </w:pPr>
            <w:r>
              <w:rPr>
                <w:rFonts w:ascii="仿宋_GB2312" w:hAnsi="仿宋_GB2312" w:cs="仿宋_GB2312" w:eastAsia="仿宋_GB2312"/>
              </w:rPr>
              <w:t>（4）可在明场和相衬条件下，进行动力学分析，单标本的分析时间≤60秒；</w:t>
            </w:r>
          </w:p>
          <w:p>
            <w:pPr>
              <w:pStyle w:val="null3"/>
              <w:jc w:val="left"/>
            </w:pPr>
            <w:r>
              <w:rPr>
                <w:rFonts w:ascii="仿宋_GB2312" w:hAnsi="仿宋_GB2312" w:cs="仿宋_GB2312" w:eastAsia="仿宋_GB2312"/>
              </w:rPr>
              <w:t>（5）检测结果的杂质误认率：≤10%；</w:t>
            </w:r>
          </w:p>
          <w:p>
            <w:pPr>
              <w:pStyle w:val="null3"/>
              <w:jc w:val="left"/>
            </w:pPr>
            <w:r>
              <w:rPr>
                <w:rFonts w:ascii="仿宋_GB2312" w:hAnsi="仿宋_GB2312" w:cs="仿宋_GB2312" w:eastAsia="仿宋_GB2312"/>
              </w:rPr>
              <w:t>▲（6）精子前向运动PR符合率≥99%，分析仪进行自动聚焦采集图像，精子静态图像清晰率≥96%；</w:t>
            </w:r>
          </w:p>
          <w:p>
            <w:pPr>
              <w:pStyle w:val="null3"/>
              <w:jc w:val="left"/>
            </w:pPr>
            <w:r>
              <w:rPr>
                <w:rFonts w:ascii="仿宋_GB2312" w:hAnsi="仿宋_GB2312" w:cs="仿宋_GB2312" w:eastAsia="仿宋_GB2312"/>
              </w:rPr>
              <w:t>（7）精子非前向运动NP符合率≥94%；</w:t>
            </w:r>
          </w:p>
          <w:p>
            <w:pPr>
              <w:pStyle w:val="null3"/>
              <w:jc w:val="left"/>
            </w:pPr>
            <w:r>
              <w:rPr>
                <w:rFonts w:ascii="仿宋_GB2312" w:hAnsi="仿宋_GB2312" w:cs="仿宋_GB2312" w:eastAsia="仿宋_GB2312"/>
              </w:rPr>
              <w:t>（8）精子不活动IM符合率≥99%；</w:t>
            </w:r>
          </w:p>
          <w:p>
            <w:pPr>
              <w:pStyle w:val="null3"/>
              <w:jc w:val="left"/>
            </w:pPr>
            <w:r>
              <w:rPr>
                <w:rFonts w:ascii="仿宋_GB2312" w:hAnsi="仿宋_GB2312" w:cs="仿宋_GB2312" w:eastAsia="仿宋_GB2312"/>
              </w:rPr>
              <w:t>6.</w:t>
            </w:r>
            <w:r>
              <w:rPr>
                <w:rFonts w:ascii="仿宋_GB2312" w:hAnsi="仿宋_GB2312" w:cs="仿宋_GB2312" w:eastAsia="仿宋_GB2312"/>
              </w:rPr>
              <w:t>精子形态学分析</w:t>
            </w:r>
          </w:p>
          <w:p>
            <w:pPr>
              <w:pStyle w:val="null3"/>
              <w:jc w:val="left"/>
            </w:pPr>
            <w:r>
              <w:rPr>
                <w:rFonts w:ascii="仿宋_GB2312" w:hAnsi="仿宋_GB2312" w:cs="仿宋_GB2312" w:eastAsia="仿宋_GB2312"/>
              </w:rPr>
              <w:t>（1）可自动扫描并自动分析视野，精子自动识别，头部异常精子个数符合率≥95%；</w:t>
            </w:r>
          </w:p>
          <w:p>
            <w:pPr>
              <w:pStyle w:val="null3"/>
              <w:jc w:val="left"/>
            </w:pPr>
            <w:r>
              <w:rPr>
                <w:rFonts w:ascii="仿宋_GB2312" w:hAnsi="仿宋_GB2312" w:cs="仿宋_GB2312" w:eastAsia="仿宋_GB2312"/>
              </w:rPr>
              <w:t>（2）精子杂质误认率≤1%；</w:t>
            </w:r>
          </w:p>
          <w:p>
            <w:pPr>
              <w:pStyle w:val="null3"/>
              <w:jc w:val="left"/>
            </w:pPr>
            <w:r>
              <w:rPr>
                <w:rFonts w:ascii="仿宋_GB2312" w:hAnsi="仿宋_GB2312" w:cs="仿宋_GB2312" w:eastAsia="仿宋_GB2312"/>
              </w:rPr>
              <w:t>7.</w:t>
            </w:r>
            <w:r>
              <w:rPr>
                <w:rFonts w:ascii="仿宋_GB2312" w:hAnsi="仿宋_GB2312" w:cs="仿宋_GB2312" w:eastAsia="仿宋_GB2312"/>
              </w:rPr>
              <w:t>精子DNA损伤分析</w:t>
            </w:r>
          </w:p>
          <w:p>
            <w:pPr>
              <w:pStyle w:val="null3"/>
              <w:jc w:val="left"/>
            </w:pPr>
            <w:r>
              <w:rPr>
                <w:rFonts w:ascii="仿宋_GB2312" w:hAnsi="仿宋_GB2312" w:cs="仿宋_GB2312" w:eastAsia="仿宋_GB2312"/>
              </w:rPr>
              <w:t>▲（1）可自动扫描并自动分析视野，自动识别计数精子数、有DNA碎片精子、无DNA碎片精子，识别结果符合率≥97%；</w:t>
            </w:r>
          </w:p>
          <w:p>
            <w:pPr>
              <w:pStyle w:val="null3"/>
              <w:jc w:val="left"/>
            </w:pPr>
            <w:r>
              <w:rPr>
                <w:rFonts w:ascii="仿宋_GB2312" w:hAnsi="仿宋_GB2312" w:cs="仿宋_GB2312" w:eastAsia="仿宋_GB2312"/>
              </w:rPr>
              <w:t>（2）精子DNA损伤分析一个标本的时间≤90秒；</w:t>
            </w:r>
          </w:p>
          <w:p>
            <w:pPr>
              <w:pStyle w:val="null3"/>
              <w:jc w:val="left"/>
            </w:pPr>
            <w:r>
              <w:rPr>
                <w:rFonts w:ascii="仿宋_GB2312" w:hAnsi="仿宋_GB2312" w:cs="仿宋_GB2312" w:eastAsia="仿宋_GB2312"/>
              </w:rPr>
              <w:t>（3）精子杂质误认率≤3%；</w:t>
            </w:r>
          </w:p>
          <w:p>
            <w:pPr>
              <w:pStyle w:val="null3"/>
              <w:jc w:val="left"/>
            </w:pPr>
            <w:r>
              <w:rPr>
                <w:rFonts w:ascii="仿宋_GB2312" w:hAnsi="仿宋_GB2312" w:cs="仿宋_GB2312" w:eastAsia="仿宋_GB2312"/>
              </w:rPr>
              <w:t>8.</w:t>
            </w:r>
            <w:r>
              <w:rPr>
                <w:rFonts w:ascii="仿宋_GB2312" w:hAnsi="仿宋_GB2312" w:cs="仿宋_GB2312" w:eastAsia="仿宋_GB2312"/>
              </w:rPr>
              <w:t>质控功能</w:t>
            </w:r>
          </w:p>
          <w:p>
            <w:pPr>
              <w:pStyle w:val="null3"/>
              <w:jc w:val="left"/>
            </w:pPr>
            <w:r>
              <w:rPr>
                <w:rFonts w:ascii="仿宋_GB2312" w:hAnsi="仿宋_GB2312" w:cs="仿宋_GB2312" w:eastAsia="仿宋_GB2312"/>
              </w:rPr>
              <w:t>（1）能自动保存质控结果，绘制月度质控图曲线，并打印输出；</w:t>
            </w:r>
          </w:p>
          <w:p>
            <w:pPr>
              <w:pStyle w:val="null3"/>
              <w:jc w:val="left"/>
            </w:pPr>
            <w:r>
              <w:rPr>
                <w:rFonts w:ascii="仿宋_GB2312" w:hAnsi="仿宋_GB2312" w:cs="仿宋_GB2312" w:eastAsia="仿宋_GB2312"/>
              </w:rPr>
              <w:t>（2）支持精子动力学活力质控视频录制，可对第三方录制的质控视频载入并进行分析检测；</w:t>
            </w:r>
          </w:p>
          <w:p>
            <w:pPr>
              <w:pStyle w:val="null3"/>
              <w:jc w:val="left"/>
            </w:pPr>
            <w:r>
              <w:rPr>
                <w:rFonts w:ascii="仿宋_GB2312" w:hAnsi="仿宋_GB2312" w:cs="仿宋_GB2312" w:eastAsia="仿宋_GB2312"/>
              </w:rPr>
              <w:t>9.</w:t>
            </w:r>
            <w:r>
              <w:rPr>
                <w:rFonts w:ascii="仿宋_GB2312" w:hAnsi="仿宋_GB2312" w:cs="仿宋_GB2312" w:eastAsia="仿宋_GB2312"/>
              </w:rPr>
              <w:t>重复性（提供产品检验报告）</w:t>
            </w:r>
          </w:p>
          <w:p>
            <w:pPr>
              <w:pStyle w:val="null3"/>
              <w:jc w:val="left"/>
            </w:pPr>
            <w:r>
              <w:rPr>
                <w:rFonts w:ascii="仿宋_GB2312" w:hAnsi="仿宋_GB2312" w:cs="仿宋_GB2312" w:eastAsia="仿宋_GB2312"/>
              </w:rPr>
              <w:t>（1）明场和相衬下进行精子浓度分析，检测结果的变异系数（CV,%）≤2%；</w:t>
            </w:r>
          </w:p>
          <w:p>
            <w:pPr>
              <w:pStyle w:val="null3"/>
              <w:jc w:val="left"/>
            </w:pPr>
            <w:r>
              <w:rPr>
                <w:rFonts w:ascii="仿宋_GB2312" w:hAnsi="仿宋_GB2312" w:cs="仿宋_GB2312" w:eastAsia="仿宋_GB2312"/>
              </w:rPr>
              <w:t>（2）精子形态学分析计数精子数，检测结果的变异系数（CV,%）≤5%；</w:t>
            </w:r>
          </w:p>
          <w:p>
            <w:pPr>
              <w:pStyle w:val="null3"/>
              <w:jc w:val="left"/>
            </w:pPr>
            <w:r>
              <w:rPr>
                <w:rFonts w:ascii="仿宋_GB2312" w:hAnsi="仿宋_GB2312" w:cs="仿宋_GB2312" w:eastAsia="仿宋_GB2312"/>
              </w:rPr>
              <w:t>（3）精子DNA损伤分析计数精子数，检测结果的变异系数（CV,%）≤5%；</w:t>
            </w:r>
          </w:p>
          <w:p>
            <w:pPr>
              <w:pStyle w:val="null3"/>
              <w:jc w:val="left"/>
            </w:pPr>
            <w:r>
              <w:rPr>
                <w:rFonts w:ascii="仿宋_GB2312" w:hAnsi="仿宋_GB2312" w:cs="仿宋_GB2312" w:eastAsia="仿宋_GB2312"/>
              </w:rPr>
              <w:t>10.</w:t>
            </w:r>
            <w:r>
              <w:rPr>
                <w:rFonts w:ascii="仿宋_GB2312" w:hAnsi="仿宋_GB2312" w:cs="仿宋_GB2312" w:eastAsia="仿宋_GB2312"/>
              </w:rPr>
              <w:t>稳定性（提供产品检验报告）</w:t>
            </w:r>
          </w:p>
          <w:p>
            <w:pPr>
              <w:pStyle w:val="null3"/>
              <w:jc w:val="left"/>
            </w:pPr>
            <w:r>
              <w:rPr>
                <w:rFonts w:ascii="仿宋_GB2312" w:hAnsi="仿宋_GB2312" w:cs="仿宋_GB2312" w:eastAsia="仿宋_GB2312"/>
              </w:rPr>
              <w:t>（1）明场和相衬下进行精子浓度分析，检测结果的变异系数（CV,%）≤3%；</w:t>
            </w:r>
          </w:p>
          <w:p>
            <w:pPr>
              <w:pStyle w:val="null3"/>
              <w:jc w:val="left"/>
            </w:pPr>
            <w:r>
              <w:rPr>
                <w:rFonts w:ascii="仿宋_GB2312" w:hAnsi="仿宋_GB2312" w:cs="仿宋_GB2312" w:eastAsia="仿宋_GB2312"/>
              </w:rPr>
              <w:t>（2）精子形态学分析计数精子数，检测结果的变异系数（CV,%）≤5%；</w:t>
            </w:r>
          </w:p>
          <w:p>
            <w:pPr>
              <w:pStyle w:val="null3"/>
              <w:jc w:val="left"/>
            </w:pPr>
            <w:r>
              <w:rPr>
                <w:rFonts w:ascii="仿宋_GB2312" w:hAnsi="仿宋_GB2312" w:cs="仿宋_GB2312" w:eastAsia="仿宋_GB2312"/>
              </w:rPr>
              <w:t>（3）精子DNA损伤分析计数精子数，检测结果的变异系数（CV,%）≤5%；</w:t>
            </w:r>
          </w:p>
          <w:p>
            <w:pPr>
              <w:pStyle w:val="null3"/>
              <w:jc w:val="left"/>
            </w:pPr>
            <w:r>
              <w:rPr>
                <w:rFonts w:ascii="仿宋_GB2312" w:hAnsi="仿宋_GB2312" w:cs="仿宋_GB2312" w:eastAsia="仿宋_GB2312"/>
              </w:rPr>
              <w:t>11.</w:t>
            </w:r>
            <w:r>
              <w:rPr>
                <w:rFonts w:ascii="仿宋_GB2312" w:hAnsi="仿宋_GB2312" w:cs="仿宋_GB2312" w:eastAsia="仿宋_GB2312"/>
              </w:rPr>
              <w:t>数据库管理系统</w:t>
            </w:r>
          </w:p>
          <w:p>
            <w:pPr>
              <w:pStyle w:val="null3"/>
              <w:jc w:val="left"/>
            </w:pPr>
            <w:r>
              <w:rPr>
                <w:rFonts w:ascii="仿宋_GB2312" w:hAnsi="仿宋_GB2312" w:cs="仿宋_GB2312" w:eastAsia="仿宋_GB2312"/>
              </w:rPr>
              <w:t>（1）液晶显示器尺寸≥32吋，分辨率≥1920×1080，CPU为i7及以上，内存≥32GB，固态硬盘≥1T，机械硬盘≥2T；</w:t>
            </w:r>
          </w:p>
          <w:p>
            <w:pPr>
              <w:pStyle w:val="null3"/>
              <w:jc w:val="left"/>
            </w:pPr>
            <w:r>
              <w:rPr>
                <w:rFonts w:ascii="仿宋_GB2312" w:hAnsi="仿宋_GB2312" w:cs="仿宋_GB2312" w:eastAsia="仿宋_GB2312"/>
              </w:rPr>
              <w:t>（2）报告及检验项目可根据用户需求增添修改，打印报告格式可自定义设计输出；</w:t>
            </w:r>
          </w:p>
          <w:p>
            <w:pPr>
              <w:pStyle w:val="null3"/>
              <w:jc w:val="left"/>
            </w:pPr>
            <w:r>
              <w:rPr>
                <w:rFonts w:ascii="仿宋_GB2312" w:hAnsi="仿宋_GB2312" w:cs="仿宋_GB2312" w:eastAsia="仿宋_GB2312"/>
              </w:rPr>
              <w:t>（3）打印机：彩色（≥6色）打印机；</w:t>
            </w:r>
          </w:p>
          <w:p>
            <w:pPr>
              <w:pStyle w:val="null3"/>
              <w:jc w:val="left"/>
            </w:pPr>
            <w:r>
              <w:rPr>
                <w:rFonts w:ascii="仿宋_GB2312" w:hAnsi="仿宋_GB2312" w:cs="仿宋_GB2312" w:eastAsia="仿宋_GB2312"/>
              </w:rPr>
              <w:t>（4）软件可任意切换世界卫生组织人类精液检查与处理实验室手册第四版、第五版和第六版的标准；</w:t>
            </w:r>
          </w:p>
          <w:p>
            <w:pPr>
              <w:pStyle w:val="null3"/>
              <w:jc w:val="left"/>
            </w:pPr>
            <w:r>
              <w:rPr>
                <w:rFonts w:ascii="仿宋_GB2312" w:hAnsi="仿宋_GB2312" w:cs="仿宋_GB2312" w:eastAsia="仿宋_GB2312"/>
              </w:rPr>
              <w:t>（5）软件可对精子图像进行文字和图形标注；</w:t>
            </w:r>
          </w:p>
          <w:p>
            <w:pPr>
              <w:pStyle w:val="null3"/>
              <w:jc w:val="left"/>
            </w:pPr>
            <w:r>
              <w:rPr>
                <w:rFonts w:ascii="仿宋_GB2312" w:hAnsi="仿宋_GB2312" w:cs="仿宋_GB2312" w:eastAsia="仿宋_GB2312"/>
              </w:rPr>
              <w:t>（6）病例统计：统计方式≥10种，统计结果显示方式≥6种；</w:t>
            </w:r>
          </w:p>
          <w:p>
            <w:pPr>
              <w:pStyle w:val="null3"/>
              <w:jc w:val="left"/>
            </w:pPr>
            <w:r>
              <w:rPr>
                <w:rFonts w:ascii="仿宋_GB2312" w:hAnsi="仿宋_GB2312" w:cs="仿宋_GB2312" w:eastAsia="仿宋_GB2312"/>
              </w:rPr>
              <w:t>12.</w:t>
            </w:r>
            <w:r>
              <w:rPr>
                <w:rFonts w:ascii="仿宋_GB2312" w:hAnsi="仿宋_GB2312" w:cs="仿宋_GB2312" w:eastAsia="仿宋_GB2312"/>
              </w:rPr>
              <w:t>检验报告：项目全开放、可编辑，除固定项目外，可报告项目包括精液理学性状类、精子显微镜动力学分析类、形态学分析类、DNA损伤分析类、精子功能试验类、化学分析类及免疫分析类等；</w:t>
            </w:r>
          </w:p>
          <w:p>
            <w:pPr>
              <w:pStyle w:val="null3"/>
              <w:jc w:val="left"/>
            </w:pPr>
            <w:r>
              <w:rPr>
                <w:rFonts w:ascii="仿宋_GB2312" w:hAnsi="仿宋_GB2312" w:cs="仿宋_GB2312" w:eastAsia="仿宋_GB2312"/>
              </w:rPr>
              <w:t>13.</w:t>
            </w:r>
            <w:r>
              <w:rPr>
                <w:rFonts w:ascii="仿宋_GB2312" w:hAnsi="仿宋_GB2312" w:cs="仿宋_GB2312" w:eastAsia="仿宋_GB2312"/>
              </w:rPr>
              <w:t>动力学分析具备连续检测样本功能；</w:t>
            </w:r>
          </w:p>
          <w:p>
            <w:pPr>
              <w:pStyle w:val="null3"/>
              <w:jc w:val="left"/>
            </w:pPr>
            <w:r>
              <w:rPr>
                <w:rFonts w:ascii="仿宋_GB2312" w:hAnsi="仿宋_GB2312" w:cs="仿宋_GB2312" w:eastAsia="仿宋_GB2312"/>
              </w:rPr>
              <w:t>14.</w:t>
            </w:r>
            <w:r>
              <w:rPr>
                <w:rFonts w:ascii="仿宋_GB2312" w:hAnsi="仿宋_GB2312" w:cs="仿宋_GB2312" w:eastAsia="仿宋_GB2312"/>
              </w:rPr>
              <w:t>上机实验标本可由条形码识别，可以对结果进行标记，使结果清晰可辨，降低误操作；</w:t>
            </w:r>
          </w:p>
          <w:p>
            <w:pPr>
              <w:pStyle w:val="null3"/>
              <w:jc w:val="left"/>
            </w:pPr>
            <w:r>
              <w:rPr>
                <w:rFonts w:ascii="仿宋_GB2312" w:hAnsi="仿宋_GB2312" w:cs="仿宋_GB2312" w:eastAsia="仿宋_GB2312"/>
              </w:rPr>
              <w:t>15.</w:t>
            </w:r>
            <w:r>
              <w:rPr>
                <w:rFonts w:ascii="仿宋_GB2312" w:hAnsi="仿宋_GB2312" w:cs="仿宋_GB2312" w:eastAsia="仿宋_GB2312"/>
              </w:rPr>
              <w:t>符合实验室标准数据交换格式，负责提供与实验室信息管理系统（LIS/HIS）进行双向数据交换，自动将实验结果发送到管理系统中进行集中处理；</w:t>
            </w:r>
          </w:p>
          <w:p>
            <w:pPr>
              <w:pStyle w:val="null3"/>
            </w:pPr>
            <w:r>
              <w:rPr>
                <w:rFonts w:ascii="仿宋_GB2312" w:hAnsi="仿宋_GB2312" w:cs="仿宋_GB2312" w:eastAsia="仿宋_GB2312"/>
              </w:rPr>
              <w:t>16.设备设计使用年限：≥8年。</w:t>
            </w:r>
          </w:p>
          <w:p>
            <w:pPr>
              <w:pStyle w:val="null3"/>
              <w:jc w:val="both"/>
            </w:pPr>
            <w:r>
              <w:rPr>
                <w:rFonts w:ascii="仿宋_GB2312" w:hAnsi="仿宋_GB2312" w:cs="仿宋_GB2312" w:eastAsia="仿宋_GB2312"/>
              </w:rPr>
              <w:t>五、配置要求：</w:t>
            </w:r>
          </w:p>
          <w:tbl>
            <w:tblPr>
              <w:tblInd w:type="dxa" w:w="135"/>
              <w:tblBorders>
                <w:top w:val="none" w:color="000000" w:sz="4"/>
                <w:left w:val="none" w:color="000000" w:sz="4"/>
                <w:bottom w:val="none" w:color="000000" w:sz="4"/>
                <w:right w:val="none" w:color="000000" w:sz="4"/>
                <w:insideH w:val="none"/>
                <w:insideV w:val="none"/>
              </w:tblBorders>
            </w:tblPr>
            <w:tblGrid>
              <w:gridCol w:w="232"/>
              <w:gridCol w:w="1186"/>
              <w:gridCol w:w="567"/>
              <w:gridCol w:w="567"/>
            </w:tblGrid>
            <w:tr>
              <w:tc>
                <w:tcPr>
                  <w:tcW w:type="dxa" w:w="232"/>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序号</w:t>
                  </w:r>
                </w:p>
              </w:tc>
              <w:tc>
                <w:tcPr>
                  <w:tcW w:type="dxa" w:w="1186"/>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名称</w:t>
                  </w:r>
                </w:p>
              </w:tc>
              <w:tc>
                <w:tcPr>
                  <w:tcW w:type="dxa" w:w="567"/>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数量</w:t>
                  </w:r>
                </w:p>
              </w:tc>
              <w:tc>
                <w:tcPr>
                  <w:tcW w:type="dxa" w:w="567"/>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单位</w:t>
                  </w:r>
                </w:p>
              </w:tc>
            </w:tr>
            <w:tr>
              <w:tc>
                <w:tcPr>
                  <w:tcW w:type="dxa" w:w="23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1</w:t>
                  </w:r>
                </w:p>
              </w:tc>
              <w:tc>
                <w:tcPr>
                  <w:tcW w:type="dxa" w:w="11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精子质量分析仪主机</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1</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台</w:t>
                  </w:r>
                </w:p>
              </w:tc>
            </w:tr>
            <w:tr>
              <w:tc>
                <w:tcPr>
                  <w:tcW w:type="dxa" w:w="23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2</w:t>
                  </w:r>
                </w:p>
              </w:tc>
              <w:tc>
                <w:tcPr>
                  <w:tcW w:type="dxa" w:w="11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精子质量分析软件</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1</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套</w:t>
                  </w:r>
                </w:p>
              </w:tc>
            </w:tr>
            <w:tr>
              <w:tc>
                <w:tcPr>
                  <w:tcW w:type="dxa" w:w="23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3</w:t>
                  </w:r>
                </w:p>
              </w:tc>
              <w:tc>
                <w:tcPr>
                  <w:tcW w:type="dxa" w:w="11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显示器</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1</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台</w:t>
                  </w:r>
                </w:p>
              </w:tc>
            </w:tr>
            <w:tr>
              <w:tc>
                <w:tcPr>
                  <w:tcW w:type="dxa" w:w="23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4</w:t>
                  </w:r>
                </w:p>
              </w:tc>
              <w:tc>
                <w:tcPr>
                  <w:tcW w:type="dxa" w:w="11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打印机</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1</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台</w:t>
                  </w:r>
                </w:p>
              </w:tc>
            </w:tr>
            <w:tr>
              <w:tc>
                <w:tcPr>
                  <w:tcW w:type="dxa" w:w="23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5</w:t>
                  </w:r>
                </w:p>
              </w:tc>
              <w:tc>
                <w:tcPr>
                  <w:tcW w:type="dxa" w:w="11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一次性精子计数池</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300</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人份</w:t>
                  </w:r>
                </w:p>
              </w:tc>
            </w:tr>
            <w:tr>
              <w:tc>
                <w:tcPr>
                  <w:tcW w:type="dxa" w:w="23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6</w:t>
                  </w:r>
                </w:p>
              </w:tc>
              <w:tc>
                <w:tcPr>
                  <w:tcW w:type="dxa" w:w="11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精子染色液</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2</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盒</w:t>
                  </w:r>
                </w:p>
              </w:tc>
            </w:tr>
            <w:tr>
              <w:tc>
                <w:tcPr>
                  <w:tcW w:type="dxa" w:w="23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7</w:t>
                  </w:r>
                </w:p>
              </w:tc>
              <w:tc>
                <w:tcPr>
                  <w:tcW w:type="dxa" w:w="11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稀释液</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2</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瓶</w:t>
                  </w:r>
                </w:p>
              </w:tc>
            </w:tr>
            <w:tr>
              <w:tc>
                <w:tcPr>
                  <w:tcW w:type="dxa" w:w="23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8</w:t>
                  </w:r>
                </w:p>
              </w:tc>
              <w:tc>
                <w:tcPr>
                  <w:tcW w:type="dxa" w:w="11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显微镜灯泡</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10</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个</w:t>
                  </w:r>
                </w:p>
              </w:tc>
            </w:tr>
            <w:tr>
              <w:tc>
                <w:tcPr>
                  <w:tcW w:type="dxa" w:w="23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9</w:t>
                  </w:r>
                </w:p>
              </w:tc>
              <w:tc>
                <w:tcPr>
                  <w:tcW w:type="dxa" w:w="11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质控品</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2</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瓶</w:t>
                  </w:r>
                </w:p>
              </w:tc>
            </w:tr>
            <w:tr>
              <w:tc>
                <w:tcPr>
                  <w:tcW w:type="dxa" w:w="23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10</w:t>
                  </w:r>
                </w:p>
              </w:tc>
              <w:tc>
                <w:tcPr>
                  <w:tcW w:type="dxa" w:w="11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香柏油</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2</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瓶</w:t>
                  </w:r>
                </w:p>
              </w:tc>
            </w:tr>
            <w:tr>
              <w:tc>
                <w:tcPr>
                  <w:tcW w:type="dxa" w:w="23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11</w:t>
                  </w:r>
                </w:p>
              </w:tc>
              <w:tc>
                <w:tcPr>
                  <w:tcW w:type="dxa" w:w="11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10X平场消色差物镜</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2</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支</w:t>
                  </w:r>
                </w:p>
              </w:tc>
            </w:tr>
            <w:tr>
              <w:tc>
                <w:tcPr>
                  <w:tcW w:type="dxa" w:w="23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12</w:t>
                  </w:r>
                </w:p>
              </w:tc>
              <w:tc>
                <w:tcPr>
                  <w:tcW w:type="dxa" w:w="11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20X平场消色差物镜</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2</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支</w:t>
                  </w:r>
                </w:p>
              </w:tc>
            </w:tr>
            <w:tr>
              <w:tc>
                <w:tcPr>
                  <w:tcW w:type="dxa" w:w="23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13</w:t>
                  </w:r>
                </w:p>
              </w:tc>
              <w:tc>
                <w:tcPr>
                  <w:tcW w:type="dxa" w:w="11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40X平场消色差物镜</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2</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支</w:t>
                  </w:r>
                </w:p>
              </w:tc>
            </w:tr>
            <w:tr>
              <w:tc>
                <w:tcPr>
                  <w:tcW w:type="dxa" w:w="23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14</w:t>
                  </w:r>
                </w:p>
              </w:tc>
              <w:tc>
                <w:tcPr>
                  <w:tcW w:type="dxa" w:w="11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100X平场消色差物镜（油镜）</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2</w:t>
                  </w:r>
                </w:p>
              </w:tc>
              <w:tc>
                <w:tcPr>
                  <w:tcW w:type="dxa" w:w="56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rPr>
                    <w:t>支</w:t>
                  </w:r>
                </w:p>
              </w:tc>
            </w:tr>
          </w:tbl>
          <w:p>
            <w:pPr>
              <w:pStyle w:val="null3"/>
            </w:pPr>
            <w:r>
              <w:rPr>
                <w:rFonts w:ascii="仿宋_GB2312" w:hAnsi="仿宋_GB2312" w:cs="仿宋_GB2312" w:eastAsia="仿宋_GB2312"/>
              </w:rPr>
              <w:t>提供投标产品技术证明材料（包括但不限于技术白皮书、技术说明书、产品彩页、检测报告等）</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合同签订生效后30个日历日内交货完毕、安装调试完成。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设备到货验收后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30个月后终验收合格后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现行的国家标准或国家行政部门颁布的法律法规、规章制度等，是项目验收的另一个重要依据。没有国家标准的，可以参考行业标准。主要按采购文件和投标文件验收。 除合同另有规定外，供应商提供的全部货物，均应按标准保护措施进行包装，并确保货物安全无损运抵买方指定地点。 每一个包装箱内应附一份详细装箱单和质量合格证。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整机质保期：≥5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1、一般按《中华人民共和国政府采购法》、《中华人民共和国民法典》中的相关条款执行。 2、未按合同要求提供货物或质量不能满足技术要求，乙方必须无条件更换，提高技术，完善质量，否则，甲方会同鉴证方有权终止合同，并对乙方的违约行为报监管机构进行相应的处罚。 3、在卖方违约的情况下，买方报告渭南市政府采购管理处后，有权终止合同，并依法向卖方进行索赔。 本合同在履行过程中发生的争议，由甲、乙双方当事人协商解决，协商不成的，甲乙双方均可向甲方所在地有管辖权的人民法院提起诉讼。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1、设备到货日期与设备生产日期时间间隔≤6个月。 2、培训：免费提供现场操作使用培训及维修培训。 3、售后服务：乙方在接到甲方报修电话后，在2小时内响应，24小时内派出合格的维修人员到达现场进行维修服务，48小时内无法修复提供备用机、承担维修产品所需的往返费用。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 自然人的身份证明; 2.提供缴费所属日期为投标文件递交截止时间前12个月内任一月份（投标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3.提供缴费所属日期为投标文件递交截止时间前12个月内任一月份（投标文件递交截止时间当月不计入）的缴费凭据或社保机关出具的缴费证明/在法规范围内不需提供的应出具书面说明和证明文件；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供应商应提供的资格证明</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供应商应提供的资格证明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授权委托书/法定代表人身份证明</w:t>
            </w:r>
          </w:p>
        </w:tc>
        <w:tc>
          <w:tcPr>
            <w:tcW w:type="dxa" w:w="3322"/>
          </w:tcPr>
          <w:p>
            <w:pPr>
              <w:pStyle w:val="null3"/>
            </w:pPr>
            <w:r>
              <w:rPr>
                <w:rFonts w:ascii="仿宋_GB2312" w:hAnsi="仿宋_GB2312" w:cs="仿宋_GB2312" w:eastAsia="仿宋_GB2312"/>
              </w:rPr>
              <w:t>提供法定代表人授权书 (附法定代表人、被授权人身份证复印件) 或提供法定代表人身份证明及身份证复印件（法定代表人直接参加投标)。</w:t>
            </w:r>
          </w:p>
        </w:tc>
        <w:tc>
          <w:tcPr>
            <w:tcW w:type="dxa" w:w="1661"/>
          </w:tcPr>
          <w:p>
            <w:pPr>
              <w:pStyle w:val="null3"/>
            </w:pPr>
            <w:r>
              <w:rPr>
                <w:rFonts w:ascii="仿宋_GB2312" w:hAnsi="仿宋_GB2312" w:cs="仿宋_GB2312" w:eastAsia="仿宋_GB2312"/>
              </w:rPr>
              <w:t>供应商应提供的资格证明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供应商应提供的资格证明</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符合《医疗器械经营监督管理办法》的相关规定</w:t>
            </w:r>
          </w:p>
        </w:tc>
        <w:tc>
          <w:tcPr>
            <w:tcW w:type="dxa" w:w="3322"/>
          </w:tcPr>
          <w:p>
            <w:pPr>
              <w:pStyle w:val="null3"/>
            </w:pPr>
            <w:r>
              <w:rPr>
                <w:rFonts w:ascii="仿宋_GB2312" w:hAnsi="仿宋_GB2312" w:cs="仿宋_GB2312" w:eastAsia="仿宋_GB2312"/>
              </w:rPr>
              <w:t>投标人须具备所投医疗器械销售资格，提供医疗器经营备案凭证。</w:t>
            </w:r>
          </w:p>
        </w:tc>
        <w:tc>
          <w:tcPr>
            <w:tcW w:type="dxa" w:w="1661"/>
          </w:tcPr>
          <w:p>
            <w:pPr>
              <w:pStyle w:val="null3"/>
            </w:pPr>
            <w:r>
              <w:rPr>
                <w:rFonts w:ascii="仿宋_GB2312" w:hAnsi="仿宋_GB2312" w:cs="仿宋_GB2312" w:eastAsia="仿宋_GB2312"/>
              </w:rPr>
              <w:t>供应商应提供的资格证明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1.投标文件按照招标文件要求进行签字、签章；2.只能有一个有效报价，不得提交选择性报价，且报价不超过采购预算金额或最高限价；3.不存在招标文件及法律法规规定的无效情形。</w:t>
            </w:r>
          </w:p>
        </w:tc>
        <w:tc>
          <w:tcPr>
            <w:tcW w:type="dxa" w:w="1661"/>
          </w:tcPr>
          <w:p>
            <w:pPr>
              <w:pStyle w:val="null3"/>
            </w:pPr>
            <w:r>
              <w:rPr>
                <w:rFonts w:ascii="仿宋_GB2312" w:hAnsi="仿宋_GB2312" w:cs="仿宋_GB2312" w:eastAsia="仿宋_GB2312"/>
              </w:rPr>
              <w:t>开标一览表 供应商应提供的资格证明 分项报价表 中小企业声明函 商务应答表 第1包试剂耗材报价表 投标函 残疾人福利性单位声明函 标的清单 投标文件封面 其他证明文件格式 技术规格应答表 监狱企业的证明文件 技术和商务方案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1、投标文件是否包含开标一览表、响应函、技术和商务响应文件； 2、投标报价完整，不得只对采购需求部分内容进行报价。</w:t>
            </w:r>
          </w:p>
        </w:tc>
        <w:tc>
          <w:tcPr>
            <w:tcW w:type="dxa" w:w="1661"/>
          </w:tcPr>
          <w:p>
            <w:pPr>
              <w:pStyle w:val="null3"/>
            </w:pPr>
            <w:r>
              <w:rPr>
                <w:rFonts w:ascii="仿宋_GB2312" w:hAnsi="仿宋_GB2312" w:cs="仿宋_GB2312" w:eastAsia="仿宋_GB2312"/>
              </w:rPr>
              <w:t>开标一览表 供应商应提供的资格证明 分项报价表 中小企业声明函 商务应答表 第1包试剂耗材报价表 投标函 残疾人福利性单位声明函 标的清单 投标文件封面 其他证明文件格式 技术规格应答表 监狱企业的证明文件 技术和商务方案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1.响应招标文件的所有实质性条款及要求；2. 投标有效期应满足招标文件中的规定。</w:t>
            </w:r>
          </w:p>
        </w:tc>
        <w:tc>
          <w:tcPr>
            <w:tcW w:type="dxa" w:w="1661"/>
          </w:tcPr>
          <w:p>
            <w:pPr>
              <w:pStyle w:val="null3"/>
            </w:pPr>
            <w:r>
              <w:rPr>
                <w:rFonts w:ascii="仿宋_GB2312" w:hAnsi="仿宋_GB2312" w:cs="仿宋_GB2312" w:eastAsia="仿宋_GB2312"/>
              </w:rPr>
              <w:t>开标一览表 供应商应提供的资格证明 分项报价表 中小企业声明函 商务应答表 第1包试剂耗材报价表 投标函 残疾人福利性单位声明函 标的清单 其他证明文件格式 投标文件封面 技术规格应答表 监狱企业的证明文件 技术和商务方案</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系统功能及服务技术要求</w:t>
            </w:r>
          </w:p>
        </w:tc>
        <w:tc>
          <w:tcPr>
            <w:tcW w:type="dxa" w:w="2492"/>
          </w:tcPr>
          <w:p>
            <w:pPr>
              <w:pStyle w:val="null3"/>
            </w:pPr>
            <w:r>
              <w:rPr>
                <w:rFonts w:ascii="仿宋_GB2312" w:hAnsi="仿宋_GB2312" w:cs="仿宋_GB2312" w:eastAsia="仿宋_GB2312"/>
              </w:rPr>
              <w:t>系统功能齐全，技术性能和服务要求全部满足招标文件要求，得满分30分；标注“▲”的条款一项不满足扣3分，未标注“★”及“▲”的条款一项不满足扣1分，不计负分。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技术规格应答表</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产品的性能与配置</w:t>
            </w:r>
          </w:p>
        </w:tc>
        <w:tc>
          <w:tcPr>
            <w:tcW w:type="dxa" w:w="2492"/>
          </w:tcPr>
          <w:p>
            <w:pPr>
              <w:pStyle w:val="null3"/>
            </w:pPr>
            <w:r>
              <w:rPr>
                <w:rFonts w:ascii="仿宋_GB2312" w:hAnsi="仿宋_GB2312" w:cs="仿宋_GB2312" w:eastAsia="仿宋_GB2312"/>
              </w:rPr>
              <w:t>①投标产品零部件通用性强，维护便利，保养简便，能够有效降低医院维护成本得4分；每存在一处不足扣1分，不足是指零部件通用性差、医院维护成本高，维护不够便利、保养不够简便。 ②投标产品整体配置高端，配套完善，功能齐全，技术成熟，性能稳定得5分；每存在一处不足扣1分，不足是指配置低端非最新产品，配套不全，功能缺失，技术不够成熟，性能不稳定。</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技术规格应答表</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投标人提供针对本项目的实施方案，包括但不限于：①供货组织安排，包括采购、仓储调运、交付等内容；②实施步骤、进度计划和保证措施；③安全控制方案及质量措施；④组织机构人员配置、协调能力等。 方案各项内容全面详细、阐述条理清晰、内容合理，贴合项目的实际情况，能有效保障本项目实施得6分，每缺项一项扣1.5分，每一项内容存在缺陷，扣0.5分。 备注：缺陷是指内容不详细、内容不合理、虽有内容但不完善、内容不贴合项目实际情况。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技术规格应答表</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技术支持及培训方案</w:t>
            </w:r>
          </w:p>
        </w:tc>
        <w:tc>
          <w:tcPr>
            <w:tcW w:type="dxa" w:w="2492"/>
          </w:tcPr>
          <w:p>
            <w:pPr>
              <w:pStyle w:val="null3"/>
            </w:pPr>
            <w:r>
              <w:rPr>
                <w:rFonts w:ascii="仿宋_GB2312" w:hAnsi="仿宋_GB2312" w:cs="仿宋_GB2312" w:eastAsia="仿宋_GB2312"/>
              </w:rPr>
              <w:t>投标人提供针对本项目技术支持及培训方案，包括①技术支持方式、技术支持人员配置；②培训内容、培训对象、培训形式及次数、培训考核办法、预期培训效果。评审标准：①全面性：内容描述全面无缺漏；②详细性：内容描述详细具体；③合理性：内容合理、贴合项目实际需求。 赋分标准：每一项内容完全满足一项评审标准得1分，每一项内容存在缺陷，扣0.5分。 备注：缺陷是指内容不详细、内容不合理、虽有内容但不完善、内容不贴合项目实际情况。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技术规格应答表</w:t>
            </w:r>
          </w:p>
        </w:tc>
      </w:tr>
      <w:tr>
        <w:tc>
          <w:tcPr>
            <w:tcW w:type="dxa" w:w="831"/>
            <w:vMerge/>
          </w:tcPr>
          <w:p/>
        </w:tc>
        <w:tc>
          <w:tcPr>
            <w:tcW w:type="dxa" w:w="1661"/>
          </w:tcPr>
          <w:p>
            <w:pPr>
              <w:pStyle w:val="null3"/>
            </w:pPr>
            <w:r>
              <w:rPr>
                <w:rFonts w:ascii="仿宋_GB2312" w:hAnsi="仿宋_GB2312" w:cs="仿宋_GB2312" w:eastAsia="仿宋_GB2312"/>
              </w:rPr>
              <w:t>售后服务实施方案</w:t>
            </w:r>
          </w:p>
        </w:tc>
        <w:tc>
          <w:tcPr>
            <w:tcW w:type="dxa" w:w="2492"/>
          </w:tcPr>
          <w:p>
            <w:pPr>
              <w:pStyle w:val="null3"/>
            </w:pPr>
            <w:r>
              <w:rPr>
                <w:rFonts w:ascii="仿宋_GB2312" w:hAnsi="仿宋_GB2312" w:cs="仿宋_GB2312" w:eastAsia="仿宋_GB2312"/>
              </w:rPr>
              <w:t>投标人提供针对本项目的售后服务方案，包括但不限于：①售后响应服务方案，包括响应时间、响应方式、到场时间保证措施等内容；②紧急故障处理方案，包括紧急故障响应机制、紧急故障维修人员保障、紧急维修时限保障；③日常保障设备正常运行方案，包括日常回访、日常故障巡查、日常故障排除等措施；④售后维修备品备件保障，包括备品备件库存、备品备件调运安排等。 方案各项内容全面详细、阐述条理清晰、内容合理，贴合项目的实际情况，能有效保障本项目实施得4分，每缺项一项扣1分，每有一项内容存在缺陷，扣0.5分。 备注：缺陷是指内容不详细无具体描述、内容不合理、虽有内容但不完善、内容不贴合项目实际情况。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技术规格应答表</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提供2024年01月至今所投核心产品的销售业绩（业绩清单及完整的合同复印件），每提供一份有效业绩合同得1分，最多4分。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技术规格应答表</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节能及环境标志产品</w:t>
            </w:r>
          </w:p>
        </w:tc>
        <w:tc>
          <w:tcPr>
            <w:tcW w:type="dxa" w:w="2492"/>
          </w:tcPr>
          <w:p>
            <w:pPr>
              <w:pStyle w:val="null3"/>
            </w:pPr>
            <w:r>
              <w:rPr>
                <w:rFonts w:ascii="仿宋_GB2312" w:hAnsi="仿宋_GB2312" w:cs="仿宋_GB2312" w:eastAsia="仿宋_GB2312"/>
              </w:rPr>
              <w:t>投标人所投产品中具有经国家确定的认证机构出具的、处于有效期之内的环境标志产品认证证书或节能产品，每有1个有效证书得0.5分，最多1分。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技术规格应答表</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耗材单价</w:t>
            </w:r>
          </w:p>
        </w:tc>
        <w:tc>
          <w:tcPr>
            <w:tcW w:type="dxa" w:w="2492"/>
          </w:tcPr>
          <w:p>
            <w:pPr>
              <w:pStyle w:val="null3"/>
            </w:pPr>
            <w:r>
              <w:rPr>
                <w:rFonts w:ascii="仿宋_GB2312" w:hAnsi="仿宋_GB2312" w:cs="仿宋_GB2312" w:eastAsia="仿宋_GB2312"/>
              </w:rPr>
              <w:t>1.所有有效报价中耗材的最低报价为评标基准价，得5分。 2.其他供应商耗材报价，按（评标基准价/评标价×5）的公式计算价格得分。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第1包试剂耗材报价表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详见附件：供应商应提供的资格证明</w:t>
      </w:r>
    </w:p>
    <w:p>
      <w:pPr>
        <w:pStyle w:val="null3"/>
        <w:ind w:firstLine="960"/>
      </w:pPr>
      <w:r>
        <w:rPr>
          <w:rFonts w:ascii="仿宋_GB2312" w:hAnsi="仿宋_GB2312" w:cs="仿宋_GB2312" w:eastAsia="仿宋_GB2312"/>
        </w:rPr>
        <w:t>详见附件：第1包试剂耗材报价表</w:t>
      </w:r>
    </w:p>
    <w:p>
      <w:pPr>
        <w:pStyle w:val="null3"/>
        <w:ind w:firstLine="960"/>
      </w:pPr>
      <w:r>
        <w:rPr>
          <w:rFonts w:ascii="仿宋_GB2312" w:hAnsi="仿宋_GB2312" w:cs="仿宋_GB2312" w:eastAsia="仿宋_GB2312"/>
        </w:rPr>
        <w:t>详见附件：技术规格应答表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详见附件：技术和商务方案</w:t>
      </w:r>
    </w:p>
    <w:p>
      <w:pPr>
        <w:pStyle w:val="null3"/>
        <w:ind w:firstLine="960"/>
      </w:pPr>
      <w:r>
        <w:rPr>
          <w:rFonts w:ascii="仿宋_GB2312" w:hAnsi="仿宋_GB2312" w:cs="仿宋_GB2312" w:eastAsia="仿宋_GB2312"/>
        </w:rPr>
        <w:t>详见附件：其他证明文件格式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