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版本号：ZCSP-渭南市-2025-00942、DLCG2025-098.1B120260113001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渭南市信息化数据机房服务购买项目(二次)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ZCSP-渭南市-2025-00942、DLCG2025-098.1B1</w:t>
      </w:r>
      <w:r>
        <w:br/>
      </w:r>
      <w:r>
        <w:br/>
      </w:r>
      <w:r>
        <w:br/>
      </w:r>
    </w:p>
    <w:p>
      <w:pPr>
        <w:pStyle w:val="null3"/>
        <w:jc w:val="center"/>
        <w:outlineLvl w:val="2"/>
      </w:pPr>
      <w:r>
        <w:rPr>
          <w:rFonts w:ascii="仿宋_GB2312" w:hAnsi="仿宋_GB2312" w:cs="仿宋_GB2312" w:eastAsia="仿宋_GB2312"/>
          <w:sz w:val="28"/>
          <w:b/>
        </w:rPr>
        <w:t>渭南市数据服务中心</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渭南市数据服务中心</w:t>
      </w:r>
      <w:r>
        <w:rPr>
          <w:rFonts w:ascii="仿宋_GB2312" w:hAnsi="仿宋_GB2312" w:cs="仿宋_GB2312" w:eastAsia="仿宋_GB2312"/>
        </w:rPr>
        <w:t>委托，拟对</w:t>
      </w:r>
      <w:r>
        <w:rPr>
          <w:rFonts w:ascii="仿宋_GB2312" w:hAnsi="仿宋_GB2312" w:cs="仿宋_GB2312" w:eastAsia="仿宋_GB2312"/>
        </w:rPr>
        <w:t>渭南市信息化数据机房服务购买项目(二次)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ZCSP-渭南市-2025-00942、DLCG2025-098.1B1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渭南市信息化数据机房服务购买项目(二次)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完成渭南市信息化数据机房服务购买项目全部内容。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负责人）直接参加的，须提供法定代表人（负责人）身份证明，并与营业执照上信息一致。法定代表人（负责人）授权代表参加的，须提供法定代表人（负责人）授权书及授权代表身份证明；</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3、投标人不得存在下列情形：单位负责人为同一人或者存在直接控股、管理关系的不同供应商，不得参加同一合同项下的政府采购活动。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渭南市临渭区车雷大街69号市民综合服务中心西配楼1楼西侧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0913-2930456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渭南市数据服务中心</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渭南市数据服务中心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1.按照国家和采购人验收相关规定执行。 2.服务质量达到国家相关法律法规要求、磋商文件、磋商响应文件及采购要求。 3.确保系统能够正常工作及运行,且满足相关技术标准及采购要求。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联系人：郑琳娜</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完成渭南市信息化数据机房服务购买项目全部内容。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渭南市信息化数据机房服务购买项目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标的名称：渭南市信息化数据机房服务购买项目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文档中台系统（1套）：支持文字、演示、表格、PDF文件在只读状态下对文档进行评论。支持对预览文件打印时带水印，实现文档的预览效果和打印效果保持一致。支持第三方应用调用接口实现套用套红、文档清稿、添加文档水印等能力。</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文件转换系统（1套）：支持将TXT、WPS、PDF、DOC/DOCX、XLS/XLSX、PPT/PPTX、CEB/CEBX、JPG、TIF等多种格式文档转换为OFD格式。支持集群式部署，保障系统高可靠性，支持7*24小时运行零报错，且保证转换生成的OFD文件不跑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文档网页轻阅读系统（1套）：支持OFD/PDF等版式文档跨平台、跨浏览器的无插件快速阅览功能。支持文件内容选择与复制，包括版式文件的缩略图、目录、语义、书签、注释、数字签名和附件导览功能。支持集群部署，主机宕机后备机能够处理访问任务，支持7*24小时高效运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安全设备续保和安全库更新（1项）：对政务云机房内现有部分安全设备：包含漏洞扫描库、WEB应用防护库等核心库实时更新服务，提供全年技术支持与续保保障，确保安全设备持续有效防御新型网络威胁。防护授权与病毒库更新，提升安全防护。</w:t>
            </w:r>
            <w:r>
              <w:rPr>
                <w:rFonts w:ascii="仿宋_GB2312" w:hAnsi="仿宋_GB2312" w:cs="仿宋_GB2312" w:eastAsia="仿宋_GB2312"/>
                <w:sz w:val="21"/>
              </w:rPr>
              <w:t>（1.奇安信防火墙:型号NSG6000-TX35M，服务内容：漏洞扫描特征库升级授权服务；Web 应用防护特征库升级授权服务。1年升级许可。2.天融信IPS-1：型号TopIDP3000(FT-B)，服务内容：攻击检测规则库(包含应用识别库,地理信息库,僵尸主机规则库)1年升级许可。3.天融信IPS-2：型号TopIDP3000(FT-B)，服务内容：攻击检测规则库(包含应用识别库,地理信息库,僵尸主机规则库)1年升级许可。4.天融信防火墙：型号NGFW4000-UF(FT-A60)，服务内容：天融信防火墙硬件质保1年。5.天融信web防火墙-1：型号TopWAF(FT-A)，服务内容：特征库1年升级许可。6.天融信web防火墙-2：型号TopWAF(FT-A)，服务内容：特征库1年升级许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（1）人员要求：提供驻场服务工程师1名，负责日常维护、监控与故障排除，随时提供现场服务。 （2）系统安装调试要求：20日历天内系统安装调试完成。 （3）管理要求：供应商应当保证设备及数据的安全，并对维护过程中接触的用户的所有相关数据进行保密，不得外泄。否则，由此引起的所有责任，采购人保留追究供应商责任的权力。提供技术支持热线，可及时解答日常技术问题咨询。 （4）培训：供应商应为机房管理人员提供基本的维护技巧和故障排查方法。 （5）成果交付要求：供应商应按照采购人的要求编制相关维护文档。 （6）所供产品的规格、数量符合采购文件供应商投标承诺及采购合同约定的要求需提供合格证书和相关资料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1.按照国家和采购人验收相关规定执行。 2.服务质量达到国家相关法律法规要求、磋商文件、磋商响应文件及采购要求。 3.确保系统能够正常工作及运行,且满足相关技术标准及采购要求。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服务期结束终验合格后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1、成交供应商在成交结果公告发布后3个工作日内提供叁套纸质磋商响应文件（经编标工具生成的文件直接打印并加盖公章），递交的纸质版文件内容确保与线上电子文件保持一致，不允许修改和补充。 2.该项目采购标的为采购文件中明确的所属行业。供应商根据《政府采购促进中小企业发展管理办法》、《关于印发中小企业划型标准规定的通知》(工信部联企业(2011)300号)要求进行划型。 3.出具磋商保证金交纳凭证或担保机构出具的保函（未按磋商文件要求提供响应无效）。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供法定代表人（负责人）身份证明，并与营业执照上信息一致。法定代表人（负责人）授权代表参加的，须提供法定代表人（负责人）授权书及授权代表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磋商响应文件签字和盖章满足磋商文件的要求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标的清单 报价表 商务应答表.docx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投标（响应）有效期（90日历天）满足磋商文件的要求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供应商磋商报价未出现选择性报价，未超出采购最高限价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磋商响应内容 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项目重点、难点分析及解决措施</w:t>
            </w:r>
          </w:p>
        </w:tc>
        <w:tc>
          <w:tcPr>
            <w:tcW w:type="dxa" w:w="2492"/>
          </w:tcPr>
          <w:p>
            <w:pPr>
              <w:pStyle w:val="null3"/>
            </w:pPr>
            <w:r>
              <w:rPr>
                <w:rFonts w:ascii="仿宋_GB2312" w:hAnsi="仿宋_GB2312" w:cs="仿宋_GB2312" w:eastAsia="仿宋_GB2312"/>
              </w:rPr>
              <w:t>一、评审内容：供应商提供针对本项目的项目内容理解与需求分析，包括但不限于： ①项目相关现状分析； ②需求目标理解； ③重难点分析； ④合理化建议。 二、评审标准： 提供详细、合理、科学可行的方案 ，方案符合本项目采购需求有针对性，以上4项，以序号①、②、③、④为项数，内容无缺项、无漏项且无缺陷的得8分，其中每有一项内容存在缺项或漏项的扣2分，每项内容中每 有一处存在缺陷的扣0.5分，该项分值扣完为止，未提供不得分。 三、赋分说明：“缺陷”是指套用其他项目方案内容；存在不适用项目实际 情况的情形，可实施性不强；引用 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维护工作方案</w:t>
            </w:r>
          </w:p>
        </w:tc>
        <w:tc>
          <w:tcPr>
            <w:tcW w:type="dxa" w:w="2492"/>
          </w:tcPr>
          <w:p>
            <w:pPr>
              <w:pStyle w:val="null3"/>
            </w:pPr>
            <w:r>
              <w:rPr>
                <w:rFonts w:ascii="仿宋_GB2312" w:hAnsi="仿宋_GB2312" w:cs="仿宋_GB2312" w:eastAsia="仿宋_GB2312"/>
              </w:rPr>
              <w:t>一、评审内容:供应商针对本项目制定的维护工作方案，包括但不限于：①服务内容 ②服务措施 ③服务流程。 二、评审标准： 提供详细、合理、科学可行的方案 ，方案符合本项目采购需求有针对性，以上3项，以序号①、②、③为项数，内容无缺项、无漏项且无缺陷的得9分，其中每有一项内容存在缺项或漏项的扣3分，每项内容中每 有一处存在缺陷的扣0.5分，该项分值扣完为止，未提供不得分。 三、赋分说明：“缺陷”是指套用其他项目方案内容；存在不适用项目实际 情况的情形，可实施性不强；引用 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一、评审内容:供应商针对本项目制定的服务方案，包括但不限于： ①日常运行维保方案； ②专项服务方案（文档系统、安全设备续保和安全库更新）； ③维护保养规程； ④不同设备差异化的维护策略；⑤进度组织安排等。 二、评审标准： 提供详细、合理、科学可行的方案 ，方案符合本项目采购需求有针对性，以上5项，以序号①、②、③、④、⑤为项数，内容无缺项、无漏项且无缺陷的得15分，其中每有一项内容存在缺项或漏项的扣3分，每项内容中每 有一处存在缺陷的扣0.5分，该项分值扣完为止，未提供不得分。 三、赋分说明：“缺陷”是指套用其他项目方案内容；存在不适用项目实际 情况的情形，可实施性不强；引用 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一、评审内容：针对本项目的质量保证措施，包括但不限于：①服务质量保障措施及系统数据安全保障措施；②服务过程中，拟投入人员的廉洁保密措施；③项目实施进度保障措施。 二、评审标准： 提供详细、合理、科学可行的方案 ，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一、评审内容：供应商针对本项目可能出现的突发情况， 制定针对性的突发应急预案措施，包括但不限于：①突发情况的处理；②应急人员和响应时限。 二、评审标准： 提供详细、合理、科学可行的方案 ，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 情况的情形，可实施性不强；引用 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一、评审内容：供应商须针对本项目和采购人实际需求提供培训方案。包括但不限于：①培训对象和内容②培训方式③培训日程安排等。 二、评审标准： 提供详细、合理、科学可行的方案 ，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一、评审内容：提供针对本项目有完善的项目实施团队及管理方案，包括但不限于：①团队人员配置清单（设有项目负责人、驻场人员及服务团队）；②岗位职责安排；③人员管理制度；④工作经验及年限等。 二、评审标准： 提供详细、合理、科学可行的方案 ，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对供应商针对采购内容，结合以往服务经验提出项目实施的服务承诺进行评审，包括但不限于：①对项目的实施质量要求、进度要求、时限要求等相关内容等做出承诺；②对服务时限内团队稳定性、服务质量一致性等相关内容等做出承诺；③对采购人及相关单位提供的各类数据、资料、信息的安全管理、保密义务等方面作出的承诺。 二、评审标准：提供详细、 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提供自2022年12月至投标截止时间类似项目业绩，每提供一个业绩得2分，最高得10分。 （提供合同复印件或中标（成交）通知书复印件加盖公章。如提供中标（成交）通知书，以中标（成交）通知书发放时间为准；如提供合同，以合同签订日期为准。）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价格分采用低价优先法计算，即满足磋商文件要求且投标价格最低的投标报价为评标基准价，其价格分为满分。其他供应商的价格分统一按照下列公式计算： 投标报价得分=（评标基准价/有效报价）×价格权重（20%）×100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