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0499D">
      <w:pPr>
        <w:pStyle w:val="2"/>
        <w:spacing w:before="220"/>
        <w:ind w:left="0" w:leftChars="0" w:right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Toc8644"/>
      <w:bookmarkStart w:id="1" w:name="_Toc9234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注：本合同仅为本项目的参考合同文本，合同签订双方可根据项目具体要求进行修订。</w:t>
      </w:r>
    </w:p>
    <w:p w14:paraId="002737B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74FDF811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32E2D1F0">
      <w:pPr>
        <w:pStyle w:val="2"/>
        <w:spacing w:before="220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渭南市公安局2026年物业服务外包采购项目</w:t>
      </w:r>
    </w:p>
    <w:p w14:paraId="2DBA1CC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</w:p>
    <w:p w14:paraId="53F691F4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政府采购合同</w:t>
      </w:r>
    </w:p>
    <w:p w14:paraId="7BE01C7C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30338A92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68DDFC3E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A26B344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E754A71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4C1F440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53C71832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0A0A0D6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3F648CEB">
      <w:pPr>
        <w:pStyle w:val="3"/>
        <w:spacing w:before="117" w:line="219" w:lineRule="auto"/>
        <w:ind w:left="0" w:leftChars="0" w:firstLine="744" w:firstLineChars="200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6"/>
          <w:sz w:val="36"/>
          <w:szCs w:val="36"/>
        </w:rPr>
        <w:t>甲方(采购人):</w:t>
      </w:r>
      <w:r>
        <w:rPr>
          <w:rFonts w:hint="eastAsia" w:ascii="仿宋_GB2312" w:hAnsi="仿宋_GB2312" w:eastAsia="仿宋_GB2312" w:cs="仿宋_GB2312"/>
          <w:spacing w:val="-57"/>
          <w:sz w:val="36"/>
          <w:szCs w:val="36"/>
        </w:rPr>
        <w:t xml:space="preserve"> </w:t>
      </w:r>
    </w:p>
    <w:p w14:paraId="6558E503">
      <w:pPr>
        <w:pStyle w:val="3"/>
        <w:spacing w:before="333" w:line="219" w:lineRule="auto"/>
        <w:ind w:left="0" w:leftChars="0" w:firstLine="764" w:firstLineChars="200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1"/>
          <w:sz w:val="36"/>
          <w:szCs w:val="36"/>
        </w:rPr>
        <w:t>乙方(供应商):</w:t>
      </w:r>
      <w:r>
        <w:rPr>
          <w:rFonts w:hint="eastAsia" w:ascii="仿宋_GB2312" w:hAnsi="仿宋_GB2312" w:eastAsia="仿宋_GB2312" w:cs="仿宋_GB2312"/>
          <w:spacing w:val="-125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spacing w:val="-157"/>
          <w:sz w:val="36"/>
          <w:szCs w:val="36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57"/>
          <w:sz w:val="36"/>
          <w:szCs w:val="36"/>
          <w:u w:val="single" w:color="auto"/>
          <w:lang w:val="en-US" w:eastAsia="zh-CN"/>
        </w:rPr>
        <w:t xml:space="preserve">                                                                                                                                                           </w:t>
      </w:r>
    </w:p>
    <w:p w14:paraId="527E451F">
      <w:pPr>
        <w:spacing w:line="263" w:lineRule="auto"/>
        <w:rPr>
          <w:rFonts w:hint="eastAsia" w:ascii="仿宋_GB2312" w:hAnsi="仿宋_GB2312" w:eastAsia="仿宋_GB2312" w:cs="仿宋_GB2312"/>
          <w:sz w:val="21"/>
        </w:rPr>
      </w:pPr>
    </w:p>
    <w:p w14:paraId="4B90B189">
      <w:pPr>
        <w:spacing w:line="263" w:lineRule="auto"/>
        <w:rPr>
          <w:rFonts w:hint="eastAsia" w:ascii="仿宋_GB2312" w:hAnsi="仿宋_GB2312" w:eastAsia="仿宋_GB2312" w:cs="仿宋_GB2312"/>
          <w:sz w:val="21"/>
        </w:rPr>
      </w:pPr>
    </w:p>
    <w:p w14:paraId="1E09AB8A">
      <w:pPr>
        <w:spacing w:line="264" w:lineRule="auto"/>
        <w:rPr>
          <w:rFonts w:hint="eastAsia" w:ascii="仿宋_GB2312" w:hAnsi="仿宋_GB2312" w:eastAsia="仿宋_GB2312" w:cs="仿宋_GB2312"/>
          <w:sz w:val="21"/>
        </w:rPr>
      </w:pPr>
    </w:p>
    <w:p w14:paraId="108D7ABF">
      <w:pPr>
        <w:pStyle w:val="3"/>
        <w:spacing w:before="98" w:line="176" w:lineRule="auto"/>
        <w:ind w:left="17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9"/>
        </w:rPr>
        <w:t>签</w:t>
      </w:r>
      <w:r>
        <w:rPr>
          <w:rFonts w:hint="eastAsia" w:ascii="仿宋_GB2312" w:hAnsi="仿宋_GB2312" w:eastAsia="仿宋_GB2312" w:cs="仿宋_GB2312"/>
          <w:spacing w:val="-60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订</w:t>
      </w:r>
      <w:r>
        <w:rPr>
          <w:rFonts w:hint="eastAsia" w:ascii="仿宋_GB2312" w:hAnsi="仿宋_GB2312" w:eastAsia="仿宋_GB2312" w:cs="仿宋_GB2312"/>
          <w:spacing w:val="-51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时</w:t>
      </w:r>
      <w:r>
        <w:rPr>
          <w:rFonts w:hint="eastAsia" w:ascii="仿宋_GB2312" w:hAnsi="仿宋_GB2312" w:eastAsia="仿宋_GB2312" w:cs="仿宋_GB2312"/>
          <w:spacing w:val="-43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间</w:t>
      </w:r>
      <w:r>
        <w:rPr>
          <w:rFonts w:hint="eastAsia" w:ascii="仿宋_GB2312" w:hAnsi="仿宋_GB2312" w:eastAsia="仿宋_GB2312" w:cs="仿宋_GB2312"/>
          <w:spacing w:val="-39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：</w:t>
      </w:r>
      <w:r>
        <w:rPr>
          <w:rFonts w:hint="eastAsia" w:ascii="仿宋_GB2312" w:hAnsi="仿宋_GB2312" w:eastAsia="仿宋_GB2312" w:cs="仿宋_GB2312"/>
          <w:spacing w:val="15"/>
        </w:rPr>
        <w:t xml:space="preserve">    </w:t>
      </w:r>
      <w:r>
        <w:rPr>
          <w:rFonts w:hint="eastAsia" w:ascii="仿宋_GB2312" w:hAnsi="仿宋_GB2312" w:eastAsia="仿宋_GB2312" w:cs="仿宋_GB2312"/>
          <w:spacing w:val="-19"/>
        </w:rPr>
        <w:t>年</w:t>
      </w:r>
      <w:r>
        <w:rPr>
          <w:rFonts w:hint="eastAsia" w:ascii="仿宋_GB2312" w:hAnsi="仿宋_GB2312" w:eastAsia="仿宋_GB2312" w:cs="仿宋_GB2312"/>
          <w:spacing w:val="-31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9"/>
        </w:rPr>
        <w:t>月</w:t>
      </w:r>
      <w:r>
        <w:rPr>
          <w:rFonts w:hint="eastAsia" w:ascii="仿宋_GB2312" w:hAnsi="仿宋_GB2312" w:eastAsia="仿宋_GB2312" w:cs="仿宋_GB2312"/>
          <w:spacing w:val="-3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17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日</w:t>
      </w:r>
    </w:p>
    <w:p w14:paraId="2B23BCF5">
      <w:pPr>
        <w:spacing w:line="229" w:lineRule="auto"/>
        <w:rPr>
          <w:rFonts w:hint="eastAsia" w:ascii="仿宋_GB2312" w:hAnsi="仿宋_GB2312" w:eastAsia="仿宋_GB2312" w:cs="仿宋_GB2312"/>
        </w:rPr>
        <w:sectPr>
          <w:footerReference r:id="rId3" w:type="default"/>
          <w:pgSz w:w="11920" w:h="16840"/>
          <w:pgMar w:top="1417" w:right="1417" w:bottom="1417" w:left="1417" w:header="0" w:footer="556" w:gutter="0"/>
          <w:cols w:space="0" w:num="1"/>
          <w:rtlGutter w:val="0"/>
          <w:docGrid w:linePitch="0" w:charSpace="0"/>
        </w:sectPr>
      </w:pPr>
    </w:p>
    <w:bookmarkEnd w:id="0"/>
    <w:bookmarkEnd w:id="1"/>
    <w:p w14:paraId="58CD720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甲方（采购人）：</w:t>
      </w:r>
    </w:p>
    <w:p w14:paraId="2143C62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统一社会信用代码：</w:t>
      </w:r>
    </w:p>
    <w:p w14:paraId="2F75616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 </w:t>
      </w:r>
    </w:p>
    <w:p w14:paraId="5E9D2AE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</w:p>
    <w:p w14:paraId="6FEF89D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 w14:paraId="277CCCF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A2BB77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乙方（中标供应商）：</w:t>
      </w:r>
    </w:p>
    <w:p w14:paraId="22123F4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统一社会信用代码：</w:t>
      </w:r>
    </w:p>
    <w:p w14:paraId="696035C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资质等级：</w:t>
      </w:r>
    </w:p>
    <w:p w14:paraId="6EA209F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 </w:t>
      </w:r>
    </w:p>
    <w:p w14:paraId="3274DBF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</w:p>
    <w:p w14:paraId="3ADF131C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 w14:paraId="463E500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根据《中华人民共和国民法典》《中华人民共和国政府采购法》等相关法律法规，以及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）的政府采购招标文件、乙方投标文件及中标通知书，甲、乙双方本着平等自愿、公平公正、诚实信用的原则，订立本合同。 </w:t>
      </w:r>
    </w:p>
    <w:p w14:paraId="5C5C7AC9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FAF174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第一条 服务项目概况</w:t>
      </w:r>
    </w:p>
    <w:p w14:paraId="5B86F77F">
      <w:pPr>
        <w:pStyle w:val="6"/>
        <w:ind w:firstLine="5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服务范围：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渭南市公安局物业为独立办公区域，拥有3栋办公楼，总建筑面积约28200平方米。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具体范围包括但不限于：办公区、公共区域、附属设施、绿化区域等。</w:t>
      </w:r>
    </w:p>
    <w:p w14:paraId="0ADEDF5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服务内容</w:t>
      </w:r>
    </w:p>
    <w:p w14:paraId="090965E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基础物业服务：公共区域保洁（含地面清洁、垃圾清运、卫生间保洁等）、公共设施设备日常运行维护（含电梯、消防、给排水、强弱电等）、公共秩序维护（含门禁管理、巡逻值守、停车管理等）、绿化养护（含苗木修剪、浇水施肥、病虫害防治等）。</w:t>
      </w:r>
    </w:p>
    <w:p w14:paraId="54EDA19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（2）专项服务（如有）： [会议服务、餐饮保障、安保监控值守、设施设备深度维保等，根据项目需求列明] 。</w:t>
      </w:r>
    </w:p>
    <w:p w14:paraId="1F3F2B5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（3）增值服务（如有）： [根据采购文件约定填写，明确是否额外收费] 。</w:t>
      </w:r>
    </w:p>
    <w:p w14:paraId="4941D8D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服务标准：乙方须严格按照国家、行业相关标准及本合同附件《物业服务标准细则》执行，服务质量须达到招标文件及投标文件承诺的要求。</w:t>
      </w:r>
    </w:p>
    <w:p w14:paraId="62B811A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6BA284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第二条 服务期限</w:t>
      </w:r>
    </w:p>
    <w:p w14:paraId="067C27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本合同服务期限为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年，自  年  月  日 起至  年  月  日 止。</w:t>
      </w:r>
    </w:p>
    <w:p w14:paraId="62BCB9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合同期满前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 日，经甲方考核合格且双方协商一致，可续签合同，续签合同须符合政府采购相关规定。</w:t>
      </w:r>
    </w:p>
    <w:p w14:paraId="59578A4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2904C5F2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第三条 服务费用及支付方式</w:t>
      </w:r>
    </w:p>
    <w:p w14:paraId="29BACF2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合同总价：本项目合同总价为人民币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元（大写：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），此价格为固定总价，包含人工、材料、设备、税费、管理等全部费用，甲方不再另行支付其他费用。</w:t>
      </w:r>
    </w:p>
    <w:p w14:paraId="63877D3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支付方式</w:t>
      </w:r>
    </w:p>
    <w:p w14:paraId="46195F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（1）支付周期：按月支付。</w:t>
      </w:r>
    </w:p>
    <w:p w14:paraId="4A0892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（2）支付流程：乙方于每 支付周期截止后5日内，向甲方提交合格的服务成果报告、发票及付款申请；甲方在收到申请后 15个工作日内完成审核，审核通过后按照财政资金支付流程向乙方付款。</w:t>
      </w:r>
    </w:p>
    <w:p w14:paraId="350F4D0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（3）履约保证金：乙方须在合同签订后 [7] 日内，向甲方提交合同总价 [5%-10%] 的履约保证金，保证金形式为 [银行保函/转账] 。合同期满且乙方无违约行为的，甲方在 [30] 日内无息退还。</w:t>
      </w:r>
      <w:bookmarkStart w:id="2" w:name="_GoBack"/>
      <w:bookmarkEnd w:id="2"/>
    </w:p>
    <w:p w14:paraId="6ADC9E4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F19887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第四条 双方权利与义务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3E85CC4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（一）甲方权利与义务</w:t>
      </w:r>
    </w:p>
    <w:p w14:paraId="3D87C73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有权对乙方的服务质量、人员配备、工作进度进行监督检查，对不符合要求的事项有权要求乙方限期整改。</w:t>
      </w:r>
    </w:p>
    <w:p w14:paraId="28FF203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向乙方提供物业服务所需的相关资料（如设施设备图纸、管网分布等），并协调物业区域内相关单位配合乙方工作。</w:t>
      </w:r>
    </w:p>
    <w:p w14:paraId="5003E35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按照合同约定及时支付服务费用，不得无故拖延。</w:t>
      </w:r>
    </w:p>
    <w:p w14:paraId="4798CA4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不得干预乙方的正常服务管理工作，法律法规另有规定的除外。 </w:t>
      </w:r>
    </w:p>
    <w:p w14:paraId="72BFF4E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（二）乙方权利与义务</w:t>
      </w:r>
    </w:p>
    <w:p w14:paraId="0E36DB4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有权按照合同约定收取服务费用，有权拒绝甲方提出的超出合同范围的不合理要求。</w:t>
      </w:r>
    </w:p>
    <w:p w14:paraId="110B061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配备足额的专业服务人员，人员须具备相应资质和技能，并将人员名单及资质证明报甲方备案；如需更换人员，须提前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 日书面通知甲方并经甲方同意。</w:t>
      </w:r>
    </w:p>
    <w:p w14:paraId="214C20E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建立健全物业服务管理制度和应急预案，定期对设施设备进行检查维护，确保物业区域内的安全、整洁、有序。</w:t>
      </w:r>
    </w:p>
    <w:p w14:paraId="0FE698C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定期向甲方提交物业服务工作报告（含月度/季度服务总结、设施设备运行状况等），重大事项须及时书面报告甲方。</w:t>
      </w:r>
    </w:p>
    <w:p w14:paraId="7ECBD8C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不得将本项目转包或违法分包给第三方，经甲方书面同意的分包除外。</w:t>
      </w:r>
    </w:p>
    <w:p w14:paraId="4CFD081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3F3BA250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第五条 服务质量考核</w:t>
      </w:r>
    </w:p>
    <w:p w14:paraId="6AB421D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甲方建立服务质量考核机制，按照附件《物业服务考核评分标准》，每月/季度对乙方服务质量进行考核，考核结果作为支付服务费用和续签合同的依据。</w:t>
      </w:r>
    </w:p>
    <w:p w14:paraId="21791A0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考核得分低于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分的，甲方有权要求乙方限期整改，并扣除当期 5%-10% 的服务费用；连续 2 次考核不合格的，甲方有权单方面解除合同，并要求乙方承担违约责任。</w:t>
      </w:r>
    </w:p>
    <w:p w14:paraId="7916115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1461D0D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第六条 违约责任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57E853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甲方未按照合同约定支付服务费用的，每逾期一日，按照逾期金额的 万分之五向乙方支付违约金；逾期超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</w:rPr>
        <w:t>30日的，乙方有权暂停服务并要求甲方承担相应损失。</w:t>
      </w:r>
    </w:p>
    <w:p w14:paraId="689675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乙方未按照合同约定提供服务，或服务质量未达到标准的，应在甲方要求的期限内整改；逾期未整改的，甲方有权扣除相应服务费用，造成甲方损失的，乙方须承担赔偿责任。</w:t>
      </w:r>
    </w:p>
    <w:p w14:paraId="0BFED72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乙方擅自转包或违法分包项目的，甲方有权解除合同，乙方须退还已收取的服务费用，并支付合同总价 20%的违约金。</w:t>
      </w:r>
    </w:p>
    <w:p w14:paraId="382B011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 因不可抗力（如地震、洪水等）导致本合同无法履行的，双方互不承担违约责任，但应及时通知对方，并采取措施减少损失。</w:t>
      </w:r>
    </w:p>
    <w:p w14:paraId="6B6A90C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4A689F4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第七条 争议解决</w:t>
      </w:r>
    </w:p>
    <w:p w14:paraId="38D4B6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本合同在履行过程中发生的争议，由双方当事人协商解决；协商不成的，可依法向甲方所在地人民法院提起诉讼。</w:t>
      </w:r>
    </w:p>
    <w:p w14:paraId="5346F0E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AAF379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第八条 其他条款</w:t>
      </w:r>
    </w:p>
    <w:p w14:paraId="372223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本合同未尽事宜，由双方另行协商，并签订补充协议。补充协议与本合同具有同等法律效力。</w:t>
      </w:r>
    </w:p>
    <w:p w14:paraId="0CAD4BC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本合同的附件（《物业服务标准细则》《物业服务考核评分标准》等）是本合同不可分割的组成部分，与本合同具有同等法律效力。</w:t>
      </w:r>
    </w:p>
    <w:p w14:paraId="5AD5BD0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本合同一式陆份，甲方执贰份，乙方执贰份，采购代理机构（如有）执壹份，报送财政部门备案壹份，自双方签字盖章之日起生效。</w:t>
      </w:r>
    </w:p>
    <w:p w14:paraId="2DB9034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0E4CC0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甲方（盖章）：</w:t>
      </w:r>
    </w:p>
    <w:p w14:paraId="4558A37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法定代表人/授权代表人（签字）：</w:t>
      </w:r>
    </w:p>
    <w:p w14:paraId="4BC514C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  年  月  日 </w:t>
      </w:r>
    </w:p>
    <w:p w14:paraId="757581AC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94719A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乙方（盖章）：</w:t>
      </w:r>
    </w:p>
    <w:p w14:paraId="5924B3E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法定代表人/授权代表人（签字）：</w:t>
      </w:r>
    </w:p>
    <w:p w14:paraId="3CCE95E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  年  月  日 </w:t>
      </w:r>
    </w:p>
    <w:p w14:paraId="40237E7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23751">
    <w:pPr>
      <w:spacing w:line="177" w:lineRule="auto"/>
      <w:ind w:left="3780"/>
      <w:rPr>
        <w:rFonts w:ascii="Times New Roman" w:hAnsi="Times New Roman" w:eastAsia="Times New Roman" w:cs="Times New Roman"/>
        <w:sz w:val="19"/>
        <w:szCs w:val="19"/>
      </w:rPr>
    </w:pPr>
    <w:r>
      <w:rPr>
        <w:rFonts w:ascii="Times New Roman" w:hAnsi="Times New Roman" w:eastAsia="Times New Roman" w:cs="Times New Roman"/>
        <w:sz w:val="19"/>
        <w:szCs w:val="19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4C74FE"/>
    <w:rsid w:val="5F4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4"/>
      <w:ind w:left="496" w:right="713"/>
      <w:jc w:val="center"/>
      <w:outlineLvl w:val="0"/>
    </w:pPr>
    <w:rPr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75"/>
    </w:pPr>
    <w:rPr>
      <w:sz w:val="28"/>
      <w:szCs w:val="2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101</Words>
  <Characters>106</Characters>
  <Lines>0</Lines>
  <Paragraphs>0</Paragraphs>
  <TotalTime>81</TotalTime>
  <ScaleCrop>false</ScaleCrop>
  <LinksUpToDate>false</LinksUpToDate>
  <CharactersWithSpaces>279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2026-01-16T03:32:00Z</dcterms:created>
  <dc:creator>Administrator</dc:creator>
  <cp:lastModifiedBy>独狼</cp:lastModifiedBy>
  <dcterms:modified xsi:type="dcterms:W3CDTF">2026-01-16T05:02:30Z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1AAF800E8D6D4A5CB4543D2E57227A45_12</vt:lpwstr>
  </property>
</Properties>
</file>