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版本号：政采-渭南市-2026-0000520260115001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2026年度后勤管理社会化服务项目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政采-渭南市-2026-00005</w:t>
      </w:r>
      <w:r>
        <w:br/>
      </w:r>
      <w:r>
        <w:br/>
      </w:r>
      <w:r>
        <w:br/>
      </w:r>
    </w:p>
    <w:p>
      <w:pPr>
        <w:pStyle w:val="null3"/>
        <w:jc w:val="center"/>
        <w:outlineLvl w:val="2"/>
      </w:pPr>
      <w:r>
        <w:rPr>
          <w:rFonts w:ascii="仿宋_GB2312" w:hAnsi="仿宋_GB2312" w:cs="仿宋_GB2312" w:eastAsia="仿宋_GB2312"/>
          <w:sz w:val="28"/>
          <w:b/>
        </w:rPr>
        <w:t>渭南市救助管理站</w:t>
      </w:r>
    </w:p>
    <w:p>
      <w:pPr>
        <w:pStyle w:val="null3"/>
        <w:jc w:val="center"/>
        <w:outlineLvl w:val="2"/>
      </w:pPr>
      <w:r>
        <w:rPr>
          <w:rFonts w:ascii="仿宋_GB2312" w:hAnsi="仿宋_GB2312" w:cs="仿宋_GB2312" w:eastAsia="仿宋_GB2312"/>
          <w:sz w:val="28"/>
          <w:b/>
        </w:rPr>
        <w:t>陕西金合建设项目管理有限公司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陕西金合建设项目管理有限公司</w:t>
      </w:r>
      <w:r>
        <w:rPr>
          <w:rFonts w:ascii="仿宋_GB2312" w:hAnsi="仿宋_GB2312" w:cs="仿宋_GB2312" w:eastAsia="仿宋_GB2312"/>
        </w:rPr>
        <w:t>（以下简称“代理机构”）受</w:t>
      </w:r>
      <w:r>
        <w:rPr>
          <w:rFonts w:ascii="仿宋_GB2312" w:hAnsi="仿宋_GB2312" w:cs="仿宋_GB2312" w:eastAsia="仿宋_GB2312"/>
        </w:rPr>
        <w:t>渭南市救助管理站</w:t>
      </w:r>
      <w:r>
        <w:rPr>
          <w:rFonts w:ascii="仿宋_GB2312" w:hAnsi="仿宋_GB2312" w:cs="仿宋_GB2312" w:eastAsia="仿宋_GB2312"/>
        </w:rPr>
        <w:t>委托，拟对</w:t>
      </w:r>
      <w:r>
        <w:rPr>
          <w:rFonts w:ascii="仿宋_GB2312" w:hAnsi="仿宋_GB2312" w:cs="仿宋_GB2312" w:eastAsia="仿宋_GB2312"/>
        </w:rPr>
        <w:t>2026年度后勤管理社会化服务项目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政采-渭南市-2026-00005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2026年度后勤管理社会化服务项目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为渭南市救助管理站提供2026年度后勤管理服务，提升救助服务质量，强化站内社会化服务保障，为每一位来站的受助人员提供餐饮、护送返乡、救助区域的生活环境秩序清理与维护等保障工作。 2026年度后勤管理社会化服务项目共需后勤岗5个，由符合采购要求的成交服务供应商提供各类专业专职人员7人，为本项目提供综合管理服务、门岗值守服务、水电维护服务、厨师服务、司机服务。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采购包1（2026年度后勤管理社会化服务项目）：属于专门面向中小企业采购。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或授权代表身份证明：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p>
      <w:pPr>
        <w:pStyle w:val="null3"/>
      </w:pPr>
      <w:r>
        <w:rPr>
          <w:rFonts w:ascii="仿宋_GB2312" w:hAnsi="仿宋_GB2312" w:cs="仿宋_GB2312" w:eastAsia="仿宋_GB2312"/>
        </w:rPr>
        <w:t>2、信用信息：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p>
    <w:p>
      <w:pPr>
        <w:pStyle w:val="null3"/>
      </w:pPr>
      <w:r>
        <w:rPr>
          <w:rFonts w:ascii="仿宋_GB2312" w:hAnsi="仿宋_GB2312" w:cs="仿宋_GB2312" w:eastAsia="仿宋_GB2312"/>
        </w:rPr>
        <w:t>3、联合体投标：本项目不接受联合体投标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渭南市临渭区三贤路中段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郑广帅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陕西金合建设项目管理有限公司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陕西省渭南市临渭区朝阳大街审计大楼八层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房萍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0913-2028188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开户名称：陕西金合建设项目管理有限公司</w:t>
            </w:r>
          </w:p>
          <w:p>
            <w:pPr>
              <w:pStyle w:val="null3"/>
            </w:pPr>
            <w:r>
              <w:rPr>
                <w:rFonts w:ascii="仿宋_GB2312" w:hAnsi="仿宋_GB2312" w:cs="仿宋_GB2312" w:eastAsia="仿宋_GB2312"/>
              </w:rPr>
              <w:t>开户银行：长安银行股份有限公司渭南分行</w:t>
            </w:r>
          </w:p>
          <w:p>
            <w:pPr>
              <w:pStyle w:val="null3"/>
            </w:pPr>
            <w:r>
              <w:rPr>
                <w:rFonts w:ascii="仿宋_GB2312" w:hAnsi="仿宋_GB2312" w:cs="仿宋_GB2312" w:eastAsia="仿宋_GB2312"/>
              </w:rPr>
              <w:t>银行账号：60001015201090000920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以及国家发改价格〔2011〕534号文件”的标准计取，按照成交金额为基数计算采购代理服务费，由成交供应商一次性支付代理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渭南市救助管理站</w:t>
      </w:r>
      <w:r>
        <w:rPr>
          <w:rFonts w:ascii="仿宋_GB2312" w:hAnsi="仿宋_GB2312" w:cs="仿宋_GB2312" w:eastAsia="仿宋_GB2312"/>
        </w:rPr>
        <w:t>和</w:t>
      </w:r>
      <w:r>
        <w:rPr>
          <w:rFonts w:ascii="仿宋_GB2312" w:hAnsi="仿宋_GB2312" w:cs="仿宋_GB2312" w:eastAsia="仿宋_GB2312"/>
        </w:rPr>
        <w:t>陕西金合建设项目管理有限公司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陕西金合建设项目管理有限公司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陕西金合建设项目管理有限公司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通过对综合管理、门岗值守、水电维护、厨房服务、司机服务等模块的全方位考核，规范各岗位工作流程，提升服务质量与管理效能，实现工作标准化、精细化。</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陕西金合建设项目管理有限公司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联系人：陕西金合建设项目管理有限公司</w:t>
      </w:r>
    </w:p>
    <w:p>
      <w:pPr>
        <w:pStyle w:val="null3"/>
      </w:pPr>
      <w:r>
        <w:rPr>
          <w:rFonts w:ascii="仿宋_GB2312" w:hAnsi="仿宋_GB2312" w:cs="仿宋_GB2312" w:eastAsia="仿宋_GB2312"/>
        </w:rPr>
        <w:t>联系电话：0913-2028188</w:t>
      </w:r>
    </w:p>
    <w:p>
      <w:pPr>
        <w:pStyle w:val="null3"/>
      </w:pPr>
      <w:r>
        <w:rPr>
          <w:rFonts w:ascii="仿宋_GB2312" w:hAnsi="仿宋_GB2312" w:cs="仿宋_GB2312" w:eastAsia="仿宋_GB2312"/>
        </w:rPr>
        <w:t>地址：陕西省渭南市临渭区朝阳大街中段审计大楼八层</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为渭南市救助管理站提供</w:t>
      </w:r>
      <w:r>
        <w:rPr>
          <w:rFonts w:ascii="仿宋_GB2312" w:hAnsi="仿宋_GB2312" w:cs="仿宋_GB2312" w:eastAsia="仿宋_GB2312"/>
          <w:sz w:val="24"/>
        </w:rPr>
        <w:t>2026年度后勤管理服务，提升救助服务质量，强化站内社会化服务保障，为每一位来站的受助人员提供餐饮、护送返乡、救助区域的生活环境秩序清理与维护等保障工作。</w:t>
      </w:r>
    </w:p>
    <w:p>
      <w:pPr>
        <w:pStyle w:val="null3"/>
      </w:pPr>
      <w:r>
        <w:rPr>
          <w:rFonts w:ascii="仿宋_GB2312" w:hAnsi="仿宋_GB2312" w:cs="仿宋_GB2312" w:eastAsia="仿宋_GB2312"/>
          <w:sz w:val="24"/>
        </w:rPr>
        <w:t>2026年度后勤管理社会化服务项目共需后勤岗5个，由符合采购要求的成交服务供应商提供各类专业专职人员7人，为本项目提供综合管理服务、门岗值守服务、水电维护服务、厨师服务、司机服务。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590,000.00</w:t>
      </w:r>
    </w:p>
    <w:p>
      <w:pPr>
        <w:pStyle w:val="null3"/>
      </w:pPr>
      <w:r>
        <w:rPr>
          <w:rFonts w:ascii="仿宋_GB2312" w:hAnsi="仿宋_GB2312" w:cs="仿宋_GB2312" w:eastAsia="仿宋_GB2312"/>
        </w:rPr>
        <w:t>采购包最高限价（元）: 590,000.00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2026年度后勤管理社会化服务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标的名称：2026年度后勤管理社会化服务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pPr>
            <w:r>
              <w:rPr>
                <w:rFonts w:ascii="仿宋_GB2312" w:hAnsi="仿宋_GB2312" w:cs="仿宋_GB2312" w:eastAsia="仿宋_GB2312"/>
                <w:sz w:val="24"/>
              </w:rPr>
              <w:t>人员配备：2026年度后勤管理社会化服务项目共需后勤岗5个，由符合采购要求的成交服务供应商提供各类专业专职人员7人。</w:t>
            </w:r>
          </w:p>
          <w:p>
            <w:pPr>
              <w:pStyle w:val="null3"/>
            </w:pPr>
            <w:r>
              <w:rPr>
                <w:rFonts w:ascii="仿宋_GB2312" w:hAnsi="仿宋_GB2312" w:cs="仿宋_GB2312" w:eastAsia="仿宋_GB2312"/>
                <w:sz w:val="24"/>
              </w:rPr>
              <w:t>（1）专业专职厨师2人：具备中式烹调师证件，主要负责来站求助人员、滞留在站的成年求助人员、住院治疗的求助人员、长期在站生活的困境未成年人以及站内工作人员的餐饮服务保障。按照规章制度及排餐安排保质保量完成每日餐食，定时收集甲方反馈意见并做好提升处理。工作期间，人员可调休，不得影响日常伙食供应。</w:t>
            </w:r>
          </w:p>
          <w:p>
            <w:pPr>
              <w:pStyle w:val="null3"/>
            </w:pPr>
            <w:r>
              <w:rPr>
                <w:rFonts w:ascii="仿宋_GB2312" w:hAnsi="仿宋_GB2312" w:cs="仿宋_GB2312" w:eastAsia="仿宋_GB2312"/>
                <w:sz w:val="24"/>
              </w:rPr>
              <w:t>（2）专职驾驶员兼专职消防员1人：具备驾驶证和消防设施操作员证，主要工作职责为受助人员和困境未成年人的护送返乡、源头治理、入户走访、接送站以及日常的街面巡查等救助专用车辆的驾乘保障工作并兼职站内专职消防员职责，日常消防维护及突发工作联系协助处理。根据甲方要求外出，安全、准时地提供服务，确保无失误发生。</w:t>
            </w:r>
          </w:p>
          <w:p>
            <w:pPr>
              <w:pStyle w:val="null3"/>
            </w:pPr>
            <w:r>
              <w:rPr>
                <w:rFonts w:ascii="仿宋_GB2312" w:hAnsi="仿宋_GB2312" w:cs="仿宋_GB2312" w:eastAsia="仿宋_GB2312"/>
                <w:sz w:val="24"/>
              </w:rPr>
              <w:t>（3）门岗管理2人：具备门卫从业5年以上，主要负责站内环境卫生的打扫、清运，院内绿化环境的维护，配合站内安全秩序维护员做好日常来站人员、车辆的出入管理，并负责冬季站内供热期间热力交换站的操作使用和管理，以及办公楼内供热系统管道、暖气片的巡查等工作，家属院门岗主要负责家属院的安全秩序维护、院内环境卫生的打扫清运、车辆停放、人员出入登记，配合社区做好相应的管理工作。门岗值守：24小时值班制度，确保门岗不离人，专于值守，无脱岗情况，严格出入管理，文明服务，礼貌待人；应急管理：有突发情况及时向救助站领导汇报。</w:t>
            </w:r>
          </w:p>
          <w:p>
            <w:pPr>
              <w:pStyle w:val="null3"/>
            </w:pPr>
            <w:r>
              <w:rPr>
                <w:rFonts w:ascii="仿宋_GB2312" w:hAnsi="仿宋_GB2312" w:cs="仿宋_GB2312" w:eastAsia="仿宋_GB2312"/>
                <w:sz w:val="24"/>
              </w:rPr>
              <w:t>（4）专业水电工1人：具备专业电工证，主要负责站内水电设施设备的巡检巡查，尤其是救助区域的用电设施管理维护，并及时更换维修损坏照明灯具、水电开关、安全防火电子门和站内变电房变压器等各种水电气暖设备的安全管理，确保站内各项设施设备和基础设施安全稳定运行。按照报修记录及时进行维修及处理。</w:t>
            </w:r>
          </w:p>
          <w:p>
            <w:pPr>
              <w:pStyle w:val="null3"/>
            </w:pPr>
            <w:r>
              <w:rPr>
                <w:rFonts w:ascii="仿宋_GB2312" w:hAnsi="仿宋_GB2312" w:cs="仿宋_GB2312" w:eastAsia="仿宋_GB2312"/>
                <w:sz w:val="24"/>
              </w:rPr>
              <w:t>（5）综合管理员1人：具有物业管理经验3年以上，组织机构健全、岗位职责明确、管理制度完善，服从管理，按要求配合甲方保质保量及时完成各事项。主要负责老站院内租赁杂费的收缴，站内管理政策的宣讲和退休人员日常服务及来站办理事项的协助，并积极对接所属三贤路社区做好老站所居老人的居家养老服务，充分体现单位对退休人员的关怀和温暖。</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质量：符合国家相关法律法规及行业规范和采购要求，达到合格标准。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根据3.2.2服务要求及项目实施情况配备人员。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根据项目实施情况，自行配备。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1、服务质量、标准、期限、效率等要求：通过对综合管理、门岗值守、水电维护、厨房服务、司机服务等模块的全方位考核，规范各岗位工作流程，提升服务质量与管理效能，实现工作标准化、精细化。 人员季度考核须达标符合公司考核管理要求。 季度考核综合得分排名，优先获得培训机会。 月/季度考核得分低于考核标准，给予警告处分并约谈。 连续两季度综合考核结果“一般”的团队或个人，给予岗位调整。 2、验收标准：（1）符合国家相关法律法规及行业规范和采购要求，达到合格标准。 （2）周期：月/季度考核（针对工作配合、门岗值守、应急管理、水电维护、厨师/司机日常职责）+季度考核（针对组织机构及制度建设的阶段性成果）。 （3）流程： 自评：各岗位人员每月/季度末对自身工作进行自评打分。 上级考评：由直属领导结合日常工作表现、数据记录进行评分。 跨部门复核：由考核管理小组对关键岗位（如门岗、司机、厨师）的评分进行交叉复核，确保公平性。 结果公示与反馈：考核结果在内部公示3个工作日，接受异议申诉，最终结果反馈至个人，同时作为绩效奖金、岗位调整、培训发展的依据。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自2026年2月25日起一年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渭南市救助管理站</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1.符合国家相关法律法规及行业规范和采购要求，达到合格标准。 2.周期：月/季度考核（针对工作配合、门岗值守、应急管理、水电维护、厨师/司机日常职责）+季度考核（针对组织机构及制度建设的阶段性成果）。 3.流程： 自评：各岗位人员每月/季度末对自身工作进行自评打分。 上级考评：由直属领导结合日常工作表现、数据记录进行评分。 跨部门复核：由考核管理小组对关键岗位（如门岗、司机、厨师）的评分进行交叉复核，确保公平性。 结果公示与反馈：考核结果在内部公示3个工作日，接受异议申诉，最终结果反馈至个人，同时作为绩效奖金、岗位调整、培训发展的依据。</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合同签定生效后支付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服务期满三个月后支付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服务期满六个月后支付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服务期满九个月后支付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保证金注意事项：（1）以转账、支票、汇票等方式递交磋商保证金的，须从供应商户名支付（备注项目编号或项目名称），如从个人户名或非供应商户名支付，将被拒绝，视为自动放弃投标权利；磋商保证金以采购代理机构到账凭证为准，供应商需更换交纳凭证，由采购代理机构统一提供保证金收据；供应商应在磋商文件中附收据复印件；（2）以保函形式交纳磋商保证金的，供应商应在响应截止时间前持保函原件至代理机构财务处换取收据；供应商应在磋商文件中附收据复印件。保函必须由具有开具投标保函资格的单位开具；若供应商违约，开具保函单位承担连带责任；（3）磋商保证金提交金额、时间不满足磋商文件要求的，投标无效；（4）未按指定账户提交的，我公司将退回，供应商须在文件递交截止时间前按照指定账户再次提交。 2、付款方式：合同签定生效后支付合同总价款的40%，服务期满三个月后支付合同总价款的20%，服务期满六个月后支付合同总价款的20%，服务期满九个月后支付合同总价款的20%。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具有独立承担民事责任能力的法人、事业法人、其他组织或自然人。企业法人应提供合法有效的标识有统一社会信用代码营业执照；事业单位法人证书；其他组织应提供合法登记证明文件；自然人应提供身份证。 （2）提供具备履行合同所必需的设备和专业技术能力的承诺； （3）有依法缴纳税收的记录，提供供应商2025年1月以来任意一个月的依法缴纳税收凭据或完税证明（依法免税的供应商应提供相关文件证明）； （4）有依法缴纳社会保障资金的记录，提供供应商2025年1月以来任意一个月的社会保障资金缴存单据或社保机构开具的社会保险参保缴费情况证明（依法不需要缴纳社会保障资金的供应商应提供相关文件证明）； （5）提供参加政府采购活动前3年内在经营活动中没有重大违法记录的书面声明；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财务报告（至少包括资产负债表和利润表）；成立时间至提交响应文件截止时间不足一年的可提供成立后任意时段的资产负债表或磋商前六个月内其基本账户银行出具的资信证明或财政部门认可的政府采购专业担保机构出具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单位负责人为同一人或者存在直接控股、管理关系的不同供应商按提交响应文件，按递交顺序只接受第一家响应文件，其他供应商按无效标处理。</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参与的供应商（联合体）服务全部由符合政策要求的中小企业承接。供应商应为中型、小型或微型企业（残疾人福利性企业及监狱企业视同为小型、微型企业），提供中小企业声明函。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法定代表人（负责人）或授权代表身份证明</w:t>
            </w:r>
          </w:p>
        </w:tc>
        <w:tc>
          <w:tcPr>
            <w:tcW w:type="dxa" w:w="3322"/>
          </w:tcPr>
          <w:p>
            <w:pPr>
              <w:pStyle w:val="null3"/>
            </w:pPr>
            <w:r>
              <w:rPr>
                <w:rFonts w:ascii="仿宋_GB2312" w:hAnsi="仿宋_GB2312" w:cs="仿宋_GB2312" w:eastAsia="仿宋_GB2312"/>
              </w:rPr>
              <w:t>供应商应授权合法的人员参加磋商全过程，其中法定代表人或负责人直接参加磋商的，须出具法定代表人或负责人身份证明书并与营业执照上信息一致。法定代表人或负责人授权代表参加磋商的，须出具法定代表人或负责人授权委托书（附授权代表身份证复印件及响应文件递交截止时间前任意一个月的本单位社保缴纳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列入“失信被执行人（页面跳转至“中国执行信息公开网”http://zxgk.court.gov.cn/shixin/）、重大税收违法失信主体”的供应商；不得为中国政府采购网(http://www.ccgp.gov.cn)“政府采购严重违法失信行为记录名单”中的供应商（提供查询结果网页截图并加盖供应商公章，查询日期为公告发布之日起至磋商响应截止日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有法定代表人或委托代理人签字(或盖章)并加盖单位章。</w:t>
            </w:r>
          </w:p>
        </w:tc>
        <w:tc>
          <w:tcPr>
            <w:tcW w:type="dxa" w:w="1661"/>
          </w:tcPr>
          <w:p>
            <w:pPr>
              <w:pStyle w:val="null3"/>
            </w:pPr>
            <w:r>
              <w:rPr>
                <w:rFonts w:ascii="仿宋_GB2312" w:hAnsi="仿宋_GB2312" w:cs="仿宋_GB2312" w:eastAsia="仿宋_GB2312"/>
              </w:rPr>
              <w:t>拟投入本项目专业器具（设备）配备.docx 磋商保证金.docx 服务内容及服务邀请应答表 中小企业声明函 商务应答表 报价表 响应文件封面 供应商应提交的相关资格证明材料.docx 残疾人福利性单位声明函 业绩证明材料.docx 标的清单 拟投入本项目人员配备.docx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响应文件格式与内容</w:t>
            </w:r>
          </w:p>
        </w:tc>
        <w:tc>
          <w:tcPr>
            <w:tcW w:type="dxa" w:w="3322"/>
          </w:tcPr>
          <w:p>
            <w:pPr>
              <w:pStyle w:val="null3"/>
            </w:pPr>
            <w:r>
              <w:rPr>
                <w:rFonts w:ascii="仿宋_GB2312" w:hAnsi="仿宋_GB2312" w:cs="仿宋_GB2312" w:eastAsia="仿宋_GB2312"/>
              </w:rPr>
              <w:t>符合磋商文件及第七章“响应文件格式”的要求。</w:t>
            </w:r>
          </w:p>
        </w:tc>
        <w:tc>
          <w:tcPr>
            <w:tcW w:type="dxa" w:w="1661"/>
          </w:tcPr>
          <w:p>
            <w:pPr>
              <w:pStyle w:val="null3"/>
            </w:pPr>
            <w:r>
              <w:rPr>
                <w:rFonts w:ascii="仿宋_GB2312" w:hAnsi="仿宋_GB2312" w:cs="仿宋_GB2312" w:eastAsia="仿宋_GB2312"/>
              </w:rPr>
              <w:t>拟投入本项目专业器具（设备）配备.docx 磋商保证金.docx 服务内容及服务邀请应答表 中小企业声明函 商务应答表 报价表 响应文件封面 供应商应提交的相关资格证明材料.docx 残疾人福利性单位声明函 业绩证明材料.docx 标的清单 拟投入本项目人员配备.docx 响应函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报价唯一与首次报价</w:t>
            </w:r>
          </w:p>
        </w:tc>
        <w:tc>
          <w:tcPr>
            <w:tcW w:type="dxa" w:w="3322"/>
          </w:tcPr>
          <w:p>
            <w:pPr>
              <w:pStyle w:val="null3"/>
            </w:pPr>
            <w:r>
              <w:rPr>
                <w:rFonts w:ascii="仿宋_GB2312" w:hAnsi="仿宋_GB2312" w:cs="仿宋_GB2312" w:eastAsia="仿宋_GB2312"/>
              </w:rPr>
              <w:t>只能有一个有效报价且首次报价未超过最高限价。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自2026年2月25日起一年。</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符合国家相关法律法规及行业规范和采购要求，达到合格标准。</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磋商响应内容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需提供缴纳凭证</w:t>
            </w:r>
          </w:p>
        </w:tc>
        <w:tc>
          <w:tcPr>
            <w:tcW w:type="dxa" w:w="1661"/>
          </w:tcPr>
          <w:p>
            <w:pPr>
              <w:pStyle w:val="null3"/>
            </w:pPr>
            <w:r>
              <w:rPr>
                <w:rFonts w:ascii="仿宋_GB2312" w:hAnsi="仿宋_GB2312" w:cs="仿宋_GB2312" w:eastAsia="仿宋_GB2312"/>
              </w:rPr>
              <w:t>磋商保证金.docx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提供针对本项目采购需求的整体服务方案，包括但不限于：①服务管理工作目标及计划；②服务内容及标准；③服务实施进度计划安排；④服务理念及特色；⑤重难点分析及解决措施等。 评审标准：以上内容无缺项，方案完整科学、服务高效，质量标准明确，专门针对本项目编制，符合本项目实际情况，内容全面详细，且条理清晰、准确、合理，能够保障项目顺利实施的每1项得3分。 每有1处缺项或者内容非针对于本项目的扣3分，每有1处缺陷的扣1分，扣完为止。（缺陷是指：内容不完整、条理不清晰、缺少关键点、方案不具体、针对性不强、内容无紧扣项目实际情况、表述前后不一致及其他不利于项目实施的情形等任意一种情形）。 未提供方案或只有标题没有实质性内容的不得分。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供应商针对本项目需求，提供详细、清晰、科学、合理的服务方案，包括但不限于：①综合管理服务方案；②厨房整体服务方案；③水电维护服务方案；④门岗值守方案；⑤司机及专职消防员服务方案。 评审标准：以上内容无缺项，方案完整科学、服务高效，质量标准明确，专门针对本项目编制，符合本项目实际情况，内容全面详细，且条理清晰、准确、合理，能够保障项目顺利实施的每1项得4分。 每有1处缺项或者内容非针对于本项目的扣4分，每有1处缺陷的扣1分，扣完为止。（缺陷是指：内容不完整、条理不清晰、缺少关键点、方案不具体、针对性不强、内容无紧扣项目实际情况、表述前后不一致及其他不利于项目实施的情形等任意一种情形）。 未提供方案或只有标题没有实质性内容的不得分。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供应商针对本项目需求，提供详细、清晰、科学、合理的质量保障方案，包括但不限于：①服务质量标准；②项目管理职责与分工；③员工日常管理制度及奖惩措施。 评审标准：以上内容无缺项，方案完整科学，质量标准明确，专门针对本项目编制，符合本项目实际情况，内容全面详细，且条理清晰、准确、合理，可操作性强能够保障项目顺利实施的每1项得2分。 每有1处缺项或者内容非针对于本项目的扣2分，每有1处缺陷的扣1分，扣完为止。（缺陷是指：内容不完整、条理不清晰、缺少关键点、方案不具体、针对性不强、内容无紧扣项目实际情况、表述前后不一致及其他不利于项目实施的情形等任意一种情形）。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企业管理制度与措施</w:t>
            </w:r>
          </w:p>
        </w:tc>
        <w:tc>
          <w:tcPr>
            <w:tcW w:type="dxa" w:w="2492"/>
          </w:tcPr>
          <w:p>
            <w:pPr>
              <w:pStyle w:val="null3"/>
            </w:pPr>
            <w:r>
              <w:rPr>
                <w:rFonts w:ascii="仿宋_GB2312" w:hAnsi="仿宋_GB2312" w:cs="仿宋_GB2312" w:eastAsia="仿宋_GB2312"/>
              </w:rPr>
              <w:t>1、供应商组织机构健全，具备有效的管理体系认证证书，内部管理制度详细，业务协作流程完善、与本项目实施具有很强的契合程度，按其响应程度计0-2.5分（后附相关管理制度等）。 2、供应商有科学合理的从业人员安全责任制度，措施保障力强，法律责任和经济责任明确清晰，按其响应程度计0-2.5分。 未提供此项内容或只有标题没有实质性内容的不得分。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需求，提供详细、全面、合理的应急预案，内容包括但不限于：①突发事件：停水、停电、恶劣天气、自然灾害等的应急预案；②重大活动：各类检查、大型活动的应急预案；③紧急安全保障措施。 评审标准：以上内容无缺项，方案全面，各项内容有详细描述；切合本项目实际情况，步骤清晰、合理，操作性强；能够紧扣项目实际情况，内容科学合理针对性强的每1项得2分。 每有1处缺项或者内容非针对于本项目的扣2分，每有1处缺陷的扣1分，扣完为止。（缺陷是指：内容不完整、条理不清晰、缺少关键点、方案不具体、针对性不强、内容无紧扣项目实际情况、表述前后不一致及其他不利于项目实施的情形等任意一种情形）。 未提供方案或只有标题没有实质性内容的不得分。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供应商针对本项目有具体的服务承诺及合理化建议及意见：包含但不限于：①服务承诺；②合理化建议。 评审标准：以上内容无缺项，专门针对本项目编制，符合本项目实际情况，内容全面详细，且条理清晰、准确、合理，能够保障项目顺利实施的每1项得1.5分。 每有1处缺项或者内容非针对于本项目的扣1.5分，每有1处缺陷的扣1分，扣完为止。（缺陷是指：内容不完整、条理不清晰、缺少关键点、方案不具体、针对性不强、内容无紧扣项目实际情况、表述前后不一致及其他不利于项目实施的情形等任意一种情形）。 未提供方案或只有标题没有实质性内容的不得分。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器具配备</w:t>
            </w:r>
          </w:p>
        </w:tc>
        <w:tc>
          <w:tcPr>
            <w:tcW w:type="dxa" w:w="2492"/>
          </w:tcPr>
          <w:p>
            <w:pPr>
              <w:pStyle w:val="null3"/>
            </w:pPr>
            <w:r>
              <w:rPr>
                <w:rFonts w:ascii="仿宋_GB2312" w:hAnsi="仿宋_GB2312" w:cs="仿宋_GB2312" w:eastAsia="仿宋_GB2312"/>
              </w:rPr>
              <w:t>供应商提供满足服务所需的工具、用品及人员服装等，所配器具充足齐全，性能状态良好，保证随时便用，并且附件资料齐全。按其满足程度计0-3分。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拟投入本项目专业器具（设备）配备.docx</w:t>
            </w:r>
          </w:p>
        </w:tc>
      </w:tr>
      <w:tr>
        <w:tc>
          <w:tcPr>
            <w:tcW w:type="dxa" w:w="831"/>
            <w:vMerge/>
          </w:tcPr>
          <w:p/>
        </w:tc>
        <w:tc>
          <w:tcPr>
            <w:tcW w:type="dxa" w:w="1661"/>
          </w:tcPr>
          <w:p>
            <w:pPr>
              <w:pStyle w:val="null3"/>
            </w:pPr>
            <w:r>
              <w:rPr>
                <w:rFonts w:ascii="仿宋_GB2312" w:hAnsi="仿宋_GB2312" w:cs="仿宋_GB2312" w:eastAsia="仿宋_GB2312"/>
              </w:rPr>
              <w:t>人员配备1-项目负责人</w:t>
            </w:r>
          </w:p>
        </w:tc>
        <w:tc>
          <w:tcPr>
            <w:tcW w:type="dxa" w:w="2492"/>
          </w:tcPr>
          <w:p>
            <w:pPr>
              <w:pStyle w:val="null3"/>
            </w:pPr>
            <w:r>
              <w:rPr>
                <w:rFonts w:ascii="仿宋_GB2312" w:hAnsi="仿宋_GB2312" w:cs="仿宋_GB2312" w:eastAsia="仿宋_GB2312"/>
              </w:rPr>
              <w:t>（1）具有专科或以上学历得1分，具有物业经理证书得1分。本小项最多得2分。赋分依据：须提供加盖公章的身份证、学历证及物业经理证，未提供的不得分。 （2）项目负责人具有3年后勤管理或物业服务管理经验得1分，每增加一年服务管理经验加0.5分，最多可加1分，满分2分。 赋分依据：须提供加盖公章的项目负责人管理经验证明材料，未提供或缺漏项的不得分。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拟投入本项目人员配备.docx</w:t>
            </w:r>
          </w:p>
        </w:tc>
      </w:tr>
      <w:tr>
        <w:tc>
          <w:tcPr>
            <w:tcW w:type="dxa" w:w="831"/>
            <w:vMerge/>
          </w:tcPr>
          <w:p/>
        </w:tc>
        <w:tc>
          <w:tcPr>
            <w:tcW w:type="dxa" w:w="1661"/>
          </w:tcPr>
          <w:p>
            <w:pPr>
              <w:pStyle w:val="null3"/>
            </w:pPr>
            <w:r>
              <w:rPr>
                <w:rFonts w:ascii="仿宋_GB2312" w:hAnsi="仿宋_GB2312" w:cs="仿宋_GB2312" w:eastAsia="仿宋_GB2312"/>
              </w:rPr>
              <w:t>人员配备2-项目团队成员</w:t>
            </w:r>
          </w:p>
        </w:tc>
        <w:tc>
          <w:tcPr>
            <w:tcW w:type="dxa" w:w="2492"/>
          </w:tcPr>
          <w:p>
            <w:pPr>
              <w:pStyle w:val="null3"/>
            </w:pPr>
            <w:r>
              <w:rPr>
                <w:rFonts w:ascii="仿宋_GB2312" w:hAnsi="仿宋_GB2312" w:cs="仿宋_GB2312" w:eastAsia="仿宋_GB2312"/>
              </w:rPr>
              <w:t>（1）服务人员配备齐全，均符合岗位要求，有可行的人员配备方案，职责分工明确，计0-2分；（2）专职厨师：持中式烹调师证，依据年龄、从业经验等综合比较，按其响应程度计0-2分；（3）驾驶员兼专职消防员：具备驾驶证和消防设施操作员证，依据年龄、从业经验等综合比较，按其响应程度计0-2分；（4）门岗管理：持保安证，并满足服务要求中从业年限等要求，依据年龄、从业经验等综合比较，按其响应程度计0-2分；（5）专业水电工：具备专业电工证，依据年龄、从业经验等综合比较，按其响应程度计0-2分；（6）综合管理员：满足服务要求中物业管理经验等要求，依据年龄、从业经验等综合比较，按其响应程度计0-2分； 以上上岗人员均需提供健康证或一年内体检报告；</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拟投入本项目人员配备.docx</w:t>
            </w:r>
          </w:p>
        </w:tc>
      </w:tr>
      <w:tr>
        <w:tc>
          <w:tcPr>
            <w:tcW w:type="dxa" w:w="831"/>
            <w:vMerge/>
          </w:tcPr>
          <w:p/>
        </w:tc>
        <w:tc>
          <w:tcPr>
            <w:tcW w:type="dxa" w:w="1661"/>
          </w:tcPr>
          <w:p>
            <w:pPr>
              <w:pStyle w:val="null3"/>
            </w:pPr>
            <w:r>
              <w:rPr>
                <w:rFonts w:ascii="仿宋_GB2312" w:hAnsi="仿宋_GB2312" w:cs="仿宋_GB2312" w:eastAsia="仿宋_GB2312"/>
              </w:rPr>
              <w:t>人员安全保障</w:t>
            </w:r>
          </w:p>
        </w:tc>
        <w:tc>
          <w:tcPr>
            <w:tcW w:type="dxa" w:w="2492"/>
          </w:tcPr>
          <w:p>
            <w:pPr>
              <w:pStyle w:val="null3"/>
            </w:pPr>
            <w:r>
              <w:rPr>
                <w:rFonts w:ascii="仿宋_GB2312" w:hAnsi="仿宋_GB2312" w:cs="仿宋_GB2312" w:eastAsia="仿宋_GB2312"/>
              </w:rPr>
              <w:t>供应商为全体服务人员购买意外伤害保险的计1分，未提供或未购买的不得分。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拟投入本项目人员配备.docx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供应商提供近三年以来（2023年1月1日至至今）类似项目业绩，每提供一份业绩得1分，总分5分（同时提供合同复印件）。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(1)不高于最高限价，且经磋商小组评审不低于成本价的最终磋商报价为有效磋商报价。 (2)满足竞争性磋商文件要求且磋商价格最低的最终磋商报价为磋商基准价，得满分20分； (3)磋商报价得分=(磋商基准价／最终磋商报价)×20%×100。 满足落实政府采购相关政策的，用扣除后的价格参与评审。 备注：当磋商小组认为某个供应商的报价明显低于其他通过符合性审查供应商的报价，有可能影响工程质量和不能诚信履约的，可以要求该供应商提供书面说明，必要时提交相关证明材料；供应商不能证明其报价合理的，磋商小组可以将其作为无效磋商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详见附件：拟投入本项目专业器具（设备）配备.docx</w:t>
      </w:r>
    </w:p>
    <w:p>
      <w:pPr>
        <w:pStyle w:val="null3"/>
        <w:ind w:firstLine="960"/>
      </w:pPr>
      <w:r>
        <w:rPr>
          <w:rFonts w:ascii="仿宋_GB2312" w:hAnsi="仿宋_GB2312" w:cs="仿宋_GB2312" w:eastAsia="仿宋_GB2312"/>
        </w:rPr>
        <w:t>详见附件：拟投入本项目人员配备.docx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