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版本号：YC25263017(CGA)20260119001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渭南市城乡规划展示馆布展更新项目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YC25263017(CGA)</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渭南市城乡规划展示馆布展更新项目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YC25263017(CGA)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渭南市城乡规划展示馆布展更新项目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城乡规划展示馆更新改造要求满足展示馆展陈功能需求。包括更换展墙底图、展板图文、墙面浮雕、展柜裂痕修复、线路改造、灯光调整、立体标语、投影设备、视频拍摄、沙盘模型、自行车模拟装备和软件更新、自动拍照设备等内容要求。 1.制定整体更新方案。根据渭南市城乡规划展示馆日常展示工作中目前使用存在的问题实际情况，制定详细的展示馆改造设计方案及更换设备设施内容，确保改造方案切实可行。 2.按照渭南市自然资源和规划局相关要求及渭南市城乡规划展示馆具体要求，明确总体任务、进度计划、责任分工、组织保障等工作内容，有序进行展示馆改造工作。 3.展示馆改造内容。根据渭南市城乡规划展示馆目前使用存在的问题实际情况，需对现有的展墙底图、展板图文、墙面浮雕、展柜裂痕修复、线路改造、灯光调整、立体标语、投影设备、视频拍摄、沙盘模型、自行车模拟装备和软件更新、自动拍照设备等内容进行改造更换，保证展示馆展陈工作顺利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采购包1（南市城乡规划展示馆布展更新项目）：属于专门面向中小企业采购。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特殊资格条款：供应商须为具有独立承担民事责任能力的法人或其他组织，企业法人提供合法有效的统一社会信用代码营业执照，其他组织提供合法登记证明文件；响应人需在项目电子化交易系统中按要求上传相应证明文件并进行电子签章。</w:t>
      </w:r>
    </w:p>
    <w:p>
      <w:pPr>
        <w:pStyle w:val="null3"/>
      </w:pPr>
      <w:r>
        <w:rPr>
          <w:rFonts w:ascii="仿宋_GB2312" w:hAnsi="仿宋_GB2312" w:cs="仿宋_GB2312" w:eastAsia="仿宋_GB2312"/>
        </w:rPr>
        <w:t>2、法定代表人授权委托书：法定代表人参与投标时需提供法定代表人资格证明书（附法定代表人身份证复印件）；被授权人参与投标时需提供法定代表人授权委托书（附法定代表人及被授权人身份证复印件）响应人需在项目电子化交易系统中按要求上传相应证明文件并进行电子签章。</w:t>
      </w:r>
    </w:p>
    <w:p>
      <w:pPr>
        <w:pStyle w:val="null3"/>
      </w:pPr>
      <w:r>
        <w:rPr>
          <w:rFonts w:ascii="仿宋_GB2312" w:hAnsi="仿宋_GB2312" w:cs="仿宋_GB2312" w:eastAsia="仿宋_GB2312"/>
        </w:rPr>
        <w:t>3、企业资质：供应商须具有建设行政主管部门颁发的建筑工程施工总承包三级及以上资质或建筑装修装饰工程专业承包二级及以上资质；且具备有效的安全生产许可证。</w:t>
      </w:r>
    </w:p>
    <w:p>
      <w:pPr>
        <w:pStyle w:val="null3"/>
      </w:pPr>
      <w:r>
        <w:rPr>
          <w:rFonts w:ascii="仿宋_GB2312" w:hAnsi="仿宋_GB2312" w:cs="仿宋_GB2312" w:eastAsia="仿宋_GB2312"/>
        </w:rPr>
        <w:t>4、税收缴纳证明：供应商需提供递交响应文件截止时间前12个月内任意一个月缴纳税收的凭据或完税证明，凭据应有税务机关或代收机关的公章或业务专用章；依法免税的供应商应提供相关文件证明；响应人需在项目电子化交易系统中按要求上传相应证明文件并进行电子签章。</w:t>
      </w:r>
    </w:p>
    <w:p>
      <w:pPr>
        <w:pStyle w:val="null3"/>
      </w:pPr>
      <w:r>
        <w:rPr>
          <w:rFonts w:ascii="仿宋_GB2312" w:hAnsi="仿宋_GB2312" w:cs="仿宋_GB2312" w:eastAsia="仿宋_GB2312"/>
        </w:rPr>
        <w:t>5、拟派项目负责人：拟派项目负责人须具有建筑工程专业二级及以上注册建造师证，具备有效的安全生产考核合格证书(安全考核B证)，且无在建项目;响应人需在项目电子化交易系统中按要求上传相应证明文件并进行电子签章。</w:t>
      </w:r>
    </w:p>
    <w:p>
      <w:pPr>
        <w:pStyle w:val="null3"/>
      </w:pPr>
      <w:r>
        <w:rPr>
          <w:rFonts w:ascii="仿宋_GB2312" w:hAnsi="仿宋_GB2312" w:cs="仿宋_GB2312" w:eastAsia="仿宋_GB2312"/>
        </w:rPr>
        <w:t>6、社会保障资金缴纳证明：供应商提供递交响应文件截止时间前12个月内任意一个月的社保资金缴费凭据或社保机构开具的社会保险参保缴费情况证明，依法不需要缴纳社会保障资金的供应商应提供相关文件证明；响应人需在项目电子化交易系统中按要求上传相应证明文件并进行电子签章。</w:t>
      </w:r>
    </w:p>
    <w:p>
      <w:pPr>
        <w:pStyle w:val="null3"/>
      </w:pPr>
      <w:r>
        <w:rPr>
          <w:rFonts w:ascii="仿宋_GB2312" w:hAnsi="仿宋_GB2312" w:cs="仿宋_GB2312" w:eastAsia="仿宋_GB2312"/>
        </w:rPr>
        <w:t>7、供应商须提供具有履行合同所必需的设备和专业技术能力的说明及承诺：供应商须提供具有履行合同所必需的设备和专业技术能力的说明承诺；响应人需在项目电子化交易系统中按要求上传相应证明文件并进行电子签章</w:t>
      </w:r>
    </w:p>
    <w:p>
      <w:pPr>
        <w:pStyle w:val="null3"/>
      </w:pPr>
      <w:r>
        <w:rPr>
          <w:rFonts w:ascii="仿宋_GB2312" w:hAnsi="仿宋_GB2312" w:cs="仿宋_GB2312" w:eastAsia="仿宋_GB2312"/>
        </w:rPr>
        <w:t>8、参加政府采购活动前 3 年内在经营活动中没有重大违法记录的书面声明：供应商参加政府采购活动前 3 年内在经营活动中没有重大违法记录的书面声明；响应人需在项目电子化交易系统中按要求上传相应证明文件并进行电子签章</w:t>
      </w:r>
    </w:p>
    <w:p>
      <w:pPr>
        <w:pStyle w:val="null3"/>
      </w:pPr>
      <w:r>
        <w:rPr>
          <w:rFonts w:ascii="仿宋_GB2312" w:hAnsi="仿宋_GB2312" w:cs="仿宋_GB2312" w:eastAsia="仿宋_GB2312"/>
        </w:rPr>
        <w:t>9、不接受联合体：本项目不接受联合体，供应商需在项目电子化交易系统中按要求上传相应证明文件并进行电子签章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10、信用信息：供应商不得为《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响应人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姬永昌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赵醒文、张耀峰、赵利科、李凯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15209222340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采购包1：2,456,500.00元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代理服务费收费标准：1.参照价格【2002】1980号文和价格【2003】857号文的计算方法按标准收取。 2.采购代理服务费由成交供应商支付，成交供应商领取成交通知书时，需一次性向采购代理机构交纳采购代理服务费。 3.采购代理服务费收款账户如下： 收款单位：亿诚建设项目管理有限公司 开户银行：中国民生银行西安吉祥路支行 银行账号：699295538。 （备注:须注明项目名称，可简称。）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渭南市城乡规划展示馆更新升级改造要求，满足展示馆展陈功能需求。展板内容与审定规划一致，准确无误。画面色彩均匀、清晰、饱满，观感良好。展板覆膜无气泡，无褶皱，无脱胶现象。玻璃无杂质，无气泡，透光性好。钢化烤漆玻璃烤漆均匀，漆面光滑。钢化热弯玻璃弧面交接处对接良好。灯箱透光性能均匀，美观大方，胶接牢固。展柜制作工艺细致，符合消防标准。展板装饰条、镜钉、支撑架安装牢固、美观。更新的展板展架、供电电源、照明灯管应质量优良,安装合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联系人：张耀峰、赵利科、赵醒文、李凯</w:t>
      </w:r>
    </w:p>
    <w:p>
      <w:pPr>
        <w:pStyle w:val="null3"/>
      </w:pPr>
      <w:r>
        <w:rPr>
          <w:rFonts w:ascii="仿宋_GB2312" w:hAnsi="仿宋_GB2312" w:cs="仿宋_GB2312" w:eastAsia="仿宋_GB2312"/>
        </w:rPr>
        <w:t>联系电话：15209222340</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2,456,500.00</w:t>
      </w:r>
    </w:p>
    <w:p>
      <w:pPr>
        <w:pStyle w:val="null3"/>
      </w:pPr>
      <w:r>
        <w:rPr>
          <w:rFonts w:ascii="仿宋_GB2312" w:hAnsi="仿宋_GB2312" w:cs="仿宋_GB2312" w:eastAsia="仿宋_GB2312"/>
        </w:rPr>
        <w:t>采购包最高限价（元）: 2,456,500.00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渭南市城乡规划展示馆布展更新项目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2,456,500.00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标的名称：渭南市城乡规划展示馆布展更新项目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执行所有现行的国家相关标准、行业标准、地方标准以及其他标准、规范，并统一执行最新标准规范。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1.服务质量：达到渭南市城乡规划展示馆更新升级改造要求，满足展示馆展陈功能需求。 2.标准：国家展览馆装饰行业及展陈展览行业相关标准。展板内容与审定规划一致，准确无误。画面色彩均匀、清晰、饱满，观感良好。展板覆膜无气泡，无褶皱，无脱胶现象。玻璃无杂质，无气泡，透光性好。钢化烤漆玻璃烤漆均匀，漆面光滑。钢化热弯玻璃弧面交接处对接良好。灯箱透光性能均匀，美观大方，胶接牢固。展柜制作工艺细致，符合消防标准。展板装饰条、镜钉、支撑架安装牢固、美观。更新的展板展架、供电电源、照明灯管应质量优良,安装合理。 3.项目改造实施的重点难点是内容繁杂、涉及工序复杂、图文要求精细，沙盘制作工艺慢，费工费时，材料损耗大，需明确总体任务、进度计划、责任分工、组织保障，施工严谨等工作内容，有序进行展示馆改造工作，确保按时保质保量完成任务。 4.涉及节能环保产品内容的需满足国家及地方相关法律法规等要求。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1.文化和旅游行业标准(WH/T):《展览场馆服务规范》WH/T 76-2020:涉及展览场馆的开放、运行、管理服务要求。《数字文化展示技术应用规范》WH/T 94-2021:如果改造中包含大量数字沙盘、VR/AR、互动屏等数字展示技术，需参考此标准。 2.其他行业标准:音视频、灯光、舞台机械等系统均有相应的行业技术标准。 3.按照以上国家标准和行业标准，确保展示馆展陈工作顺利开展。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或2025年度财务审计报告(成立时间至开标时间不足一年的可提供成立后任意时段的资产负债表)或开标前六个月内其基本账户银行出具的资信证明(附基本账户证明)或政府采购信用担保机构出具的投标担保函。 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自行编制，格式不限.docx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主体资格特殊资格条款</w:t>
            </w:r>
          </w:p>
        </w:tc>
        <w:tc>
          <w:tcPr>
            <w:tcW w:type="dxa" w:w="3322"/>
          </w:tcPr>
          <w:p>
            <w:pPr>
              <w:pStyle w:val="null3"/>
            </w:pPr>
            <w:r>
              <w:rPr>
                <w:rFonts w:ascii="仿宋_GB2312" w:hAnsi="仿宋_GB2312" w:cs="仿宋_GB2312" w:eastAsia="仿宋_GB2312"/>
              </w:rPr>
              <w:t>供应商须为具有独立承担民事责任能力的法人或其他组织，企业法人提供合法有效的统一社会信用代码营业执照，其他组织提供合法登记证明文件；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自行编制，格式不限.docx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与投标时需提供法定代表人资格证明书（附法定代表人身份证复印件）；被授权人参与投标时需提供法定代表人授权委托书（附法定代表人及被授权人身份证复印件）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法定代表人身份证明、法定代表人授权委托书1.docx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供应商须具有建设行政主管部门颁发的建筑工程施工总承包三级及以上资质或建筑装修装饰工程专业承包二级及以上资质；且具备有效的安全生产许可证。</w:t>
            </w:r>
          </w:p>
        </w:tc>
        <w:tc>
          <w:tcPr>
            <w:tcW w:type="dxa" w:w="1661"/>
          </w:tcPr>
          <w:p>
            <w:pPr>
              <w:pStyle w:val="null3"/>
            </w:pPr>
            <w:r>
              <w:rPr>
                <w:rFonts w:ascii="仿宋_GB2312" w:hAnsi="仿宋_GB2312" w:cs="仿宋_GB2312" w:eastAsia="仿宋_GB2312"/>
              </w:rPr>
              <w:t>自行编制，格式不限.docx 供应商应提交的相关资格证明材料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需提供递交响应文件截止时间前12个月内任意一个月缴纳税收的凭据或完税证明，凭据应有税务机关或代收机关的公章或业务专用章；依法免税的供应商应提供相关文件证明；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供应商信用记录书面声明函.docx 自行编制，格式不限.docx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拟派项目负责人须具有建筑工程专业二级及以上注册建造师证，具备有效的安全生产考核合格证书(安全考核B证)，且无在建项目;响应人需在项目电子化交易系统中按要求上传相应证明文件并进行电子签章。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自行编制，格式不限.docx 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递交响应文件截止时间前12个月内任意一个月的社保资金缴费凭据或社保机构开具的社会保险参保缴费情况证明，依法不需要缴纳社会保障资金的供应商应提供相关文件证明；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自行编制，格式不限.docx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供应商须提供具有履行合同所必需的设备和专业技术能力的说明及承诺</w:t>
            </w:r>
          </w:p>
        </w:tc>
        <w:tc>
          <w:tcPr>
            <w:tcW w:type="dxa" w:w="3322"/>
          </w:tcPr>
          <w:p>
            <w:pPr>
              <w:pStyle w:val="null3"/>
            </w:pPr>
            <w:r>
              <w:rPr>
                <w:rFonts w:ascii="仿宋_GB2312" w:hAnsi="仿宋_GB2312" w:cs="仿宋_GB2312" w:eastAsia="仿宋_GB2312"/>
              </w:rPr>
              <w:t>供应商须提供具有履行合同所必需的设备和专业技术能力的说明承诺；响应人需在项目电子化交易系统中按要求上传相应证明文件并进行电子签章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自行编制，格式不限.docx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参加政府采购活动前 3 年内在经营活动中没有重大违法记录的书面声明</w:t>
            </w:r>
          </w:p>
        </w:tc>
        <w:tc>
          <w:tcPr>
            <w:tcW w:type="dxa" w:w="3322"/>
          </w:tcPr>
          <w:p>
            <w:pPr>
              <w:pStyle w:val="null3"/>
            </w:pPr>
            <w:r>
              <w:rPr>
                <w:rFonts w:ascii="仿宋_GB2312" w:hAnsi="仿宋_GB2312" w:cs="仿宋_GB2312" w:eastAsia="仿宋_GB2312"/>
              </w:rPr>
              <w:t>供应商参加政府采购活动前 3 年内在经营活动中没有重大违法记录的书面声明；响应人需在项目电子化交易系统中按要求上传相应证明文件并进行电子签章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非联合体不分包投标声明.docx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重大税收违法失信主体、未被《中国执行信息公开网》（网站：http://zxgk.court.gov.cn/shixin/)列入失信被执行人及未被《中国政府采购网》（网站：www.ccgp.gov.cn）列入政府采购严重违法失信行为记录名单。供应商企业基本信息应在“陕西省建筑市场监管与诚信信息发布平台（http://jzscyth.shaanxi.gov.cn:7001/PDR/network/credit/home）”可查询；响应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供应商信用记录书面声明函.docx 响应文件封面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工程量清单.xlsx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响应文件项目名称、项目编号</w:t>
            </w:r>
          </w:p>
        </w:tc>
        <w:tc>
          <w:tcPr>
            <w:tcW w:type="dxa" w:w="3322"/>
          </w:tcPr>
          <w:p>
            <w:pPr>
              <w:pStyle w:val="null3"/>
            </w:pPr>
            <w:r>
              <w:rPr>
                <w:rFonts w:ascii="仿宋_GB2312" w:hAnsi="仿宋_GB2312" w:cs="仿宋_GB2312" w:eastAsia="仿宋_GB2312"/>
              </w:rPr>
              <w:t>响应文件以下三处的项目名称、项目编号无遗漏，且与本项目一致： （1）封面； （2）响应函； （3）法定代表人委托授权书。</w:t>
            </w:r>
          </w:p>
        </w:tc>
        <w:tc>
          <w:tcPr>
            <w:tcW w:type="dxa" w:w="1661"/>
          </w:tcPr>
          <w:p>
            <w:pPr>
              <w:pStyle w:val="null3"/>
            </w:pPr>
            <w:r>
              <w:rPr>
                <w:rFonts w:ascii="仿宋_GB2312" w:hAnsi="仿宋_GB2312" w:cs="仿宋_GB2312" w:eastAsia="仿宋_GB2312"/>
              </w:rPr>
              <w:t>响应文件封面 响应函 法定代表人身份证明、法定代表人授权委托书1.docx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对技术、服务、商务及合同条款应答</w:t>
            </w:r>
          </w:p>
        </w:tc>
        <w:tc>
          <w:tcPr>
            <w:tcW w:type="dxa" w:w="3322"/>
          </w:tcPr>
          <w:p>
            <w:pPr>
              <w:pStyle w:val="null3"/>
            </w:pPr>
            <w:r>
              <w:rPr>
                <w:rFonts w:ascii="仿宋_GB2312" w:hAnsi="仿宋_GB2312" w:cs="仿宋_GB2312" w:eastAsia="仿宋_GB2312"/>
              </w:rPr>
              <w:t>完全理解并接受磋商文件中技术、服务、商务及合同条款要求。</w:t>
            </w:r>
          </w:p>
        </w:tc>
        <w:tc>
          <w:tcPr>
            <w:tcW w:type="dxa" w:w="1661"/>
          </w:tcPr>
          <w:p>
            <w:pPr>
              <w:pStyle w:val="null3"/>
            </w:pPr>
            <w:r>
              <w:rPr>
                <w:rFonts w:ascii="仿宋_GB2312" w:hAnsi="仿宋_GB2312" w:cs="仿宋_GB2312" w:eastAsia="仿宋_GB2312"/>
              </w:rPr>
              <w:t>已标价工程量清单 工程量清单.xlsx 自行编制，格式不限.docx 项目管理机构组成表 标的清单 技术服务合同条款及其他商务要求应答表 供应商类似项目业绩一览表 主要人员简历表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报价函</w:t>
            </w:r>
          </w:p>
        </w:tc>
        <w:tc>
          <w:tcPr>
            <w:tcW w:type="dxa" w:w="3322"/>
          </w:tcPr>
          <w:p>
            <w:pPr>
              <w:pStyle w:val="null3"/>
            </w:pPr>
            <w:r>
              <w:rPr>
                <w:rFonts w:ascii="仿宋_GB2312" w:hAnsi="仿宋_GB2312" w:cs="仿宋_GB2312" w:eastAsia="仿宋_GB2312"/>
              </w:rPr>
              <w:t>（1）报价函填写符合要求； （3）报价货币符合磋商文件要求； （4）未超出磋商文件规定的最高限制价。</w:t>
            </w:r>
          </w:p>
        </w:tc>
        <w:tc>
          <w:tcPr>
            <w:tcW w:type="dxa" w:w="1661"/>
          </w:tcPr>
          <w:p>
            <w:pPr>
              <w:pStyle w:val="null3"/>
            </w:pPr>
            <w:r>
              <w:rPr>
                <w:rFonts w:ascii="仿宋_GB2312" w:hAnsi="仿宋_GB2312" w:cs="仿宋_GB2312" w:eastAsia="仿宋_GB2312"/>
              </w:rPr>
              <w:t>已标价工程量清单 工程量清单.xlsx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展陈方案</w:t>
            </w:r>
          </w:p>
        </w:tc>
        <w:tc>
          <w:tcPr>
            <w:tcW w:type="dxa" w:w="2492"/>
          </w:tcPr>
          <w:p>
            <w:pPr>
              <w:pStyle w:val="null3"/>
            </w:pPr>
            <w:r>
              <w:rPr>
                <w:rFonts w:ascii="仿宋_GB2312" w:hAnsi="仿宋_GB2312" w:cs="仿宋_GB2312" w:eastAsia="仿宋_GB2312"/>
              </w:rPr>
              <w:t>展陈方案合理性、实用性、可操作性强得（5-10分]，展陈方案合理性、实用性、可操作性一般得（0-5分]。展陈方案不满足得0分。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1、方案内容完整，针对性强，施工方法得当得(4-6]分；2、方案内容较完整，针对性较强，施工方法较得当得(2-4]分；3、方案内容一般，针对性一般，施工方法基本全面得(0-2]分；4、未提供施工方案不得分。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施工进度表及施工现场管理方案</w:t>
            </w:r>
          </w:p>
        </w:tc>
        <w:tc>
          <w:tcPr>
            <w:tcW w:type="dxa" w:w="2492"/>
          </w:tcPr>
          <w:p>
            <w:pPr>
              <w:pStyle w:val="null3"/>
            </w:pPr>
            <w:r>
              <w:rPr>
                <w:rFonts w:ascii="仿宋_GB2312" w:hAnsi="仿宋_GB2312" w:cs="仿宋_GB2312" w:eastAsia="仿宋_GB2312"/>
              </w:rPr>
              <w:t>1、施工进度表编制完整，整体及各阶段施工进度计划明确科学合理，能够保障工期和技术实施，施工现场管理方案合理，内容齐全，切实可行的得(4-6]分； 2、施工进度表编制较完整，整体及各阶段施工进度计划较明确、工期保障和技术实施科学较合理，施工现场管理方案较合理，内容较齐全，较切实可行的得(2-4]分； 3、施工进度表整体及各阶段施工进度计划、工期保障和技术实施方案简单。施工现场管理方案内容一般的得(0-2]分； 4、未提供施工进度表及施工现场管理方案不得分。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项目管理机构组成及劳动力配备计划</w:t>
            </w:r>
          </w:p>
        </w:tc>
        <w:tc>
          <w:tcPr>
            <w:tcW w:type="dxa" w:w="2492"/>
          </w:tcPr>
          <w:p>
            <w:pPr>
              <w:pStyle w:val="null3"/>
            </w:pPr>
            <w:r>
              <w:rPr>
                <w:rFonts w:ascii="仿宋_GB2312" w:hAnsi="仿宋_GB2312" w:cs="仿宋_GB2312" w:eastAsia="仿宋_GB2312"/>
              </w:rPr>
              <w:t>1、项目管理机构人员及劳动力配备计划合理，分工明确，职责清晰得(4-6]分； 2、项目管理机构人员及劳动力配备计划较合理，分工较明确，职责较清晰得(2-4]分；3、项目管理机构人员及劳动力配备计划不合理，分工不明确，职责不清晰得(0-2]分； 4、未提供项目管理机构组成及劳动力配备计划不得分。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1、技术组织措施详细，质量管理目标明确，质量保证承诺全面，质量保证措施经济性、合理性、可行性及针对性强得(4-6]分；2、技术组织措施较详细，质量管理目标较明确，质量保证承诺较全面，质量保证措施经济性、合理性、可行性及针对性较强得(2-4]分；3、技术组织措施不详细，质量管理目标不明确，质量保证承诺不全面，质量保证措施经济性、合理性、可行性及针对性差得(0-2]分；4、未提供确保质量的技术组织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技术措施详细，安全管理目标明确，安全保证措施的经济性、合理性、可行性及针对性强得(4-6]分；2、技术措施较详细，安全管理目标较明确，安全保证措施的经济性、合理性、可行性及针对性较强得(2-4]分；3、技术措施基本详细，安全管理目标基本明确，安全保证措施的经济性、合理性、可行性及针对性一般得(1-2]分； 4、技术措施不详细，安全管理目标不明确，安全保证措施的经济性、合理性、可行性及针对性差得(0-1]分； 5、未提供确保安全生产的技术组织措施不得分。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1、措施详细，文明施工目标明确，经济性、合理性、可行性及针对性强得(3-5]分； 2、措施较详细，目标较明确，经济性、合理性、可行性及针对性较强得(1-3]分；3、措施基本详细，目标基本明确，经济性、合理性、可行性及针对性一般得(0-1]分；4、未提供确保文明施工的技术组织措施及环境保护措施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1、施工设备配备齐全，针对性强，投入计划合理得(4-6]分；2、施工设备配备较齐全，针对性较强，投入计划较合理得(2-4]分；3、施工设备配备齐全，针对性一般，投入计划一般得(0-2]分； 4、未提供设备投入计划不得分。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1、承诺详细全面、指标明确，切实可行得(2-4]分； 2、承诺较详细、较全面、指标基本明确，可行性能够满足得(0-2]分； 3、未提供服务承诺不得分。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货物质量保证</w:t>
            </w:r>
          </w:p>
        </w:tc>
        <w:tc>
          <w:tcPr>
            <w:tcW w:type="dxa" w:w="2492"/>
          </w:tcPr>
          <w:p>
            <w:pPr>
              <w:pStyle w:val="null3"/>
            </w:pPr>
            <w:r>
              <w:rPr>
                <w:rFonts w:ascii="仿宋_GB2312" w:hAnsi="仿宋_GB2312" w:cs="仿宋_GB2312" w:eastAsia="仿宋_GB2312"/>
              </w:rPr>
              <w:t>1、投标人的产品质量保障措施(包括常见质量问题的控制方案、产品检验、包装质量保障措施方案等)产品质量保障措施涵盖以上内容，内容全面、条理清晰，充分结合本项目实际情况的得（1.5-3分]； 2、投标人的产品质量保障措施(包括常见质量问题的控制方案、产品检验、包装质量保障措施方案等)产品质量保障措施涵盖以上内容、内容有缺漏但不影响项目实施，未充分结合本项目实际情况的得（0-1.5分]； 3、未提供质量保证不得分。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响应人需提供2023年1月 1日以来独立承担过类似项目业绩，每个业绩计 1分，最高计2分。 注：业绩证明文件以合同或中标通知书复印件为准，时间以合同签订时间或中标通知书中载明的时间为准，未提供或不清晰导致无法识别的不予认可。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详见附件：法定代表人身份证明、法定代表人授权委托书1.docx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详见附件：工程量清单.xlsx</w:t>
      </w:r>
    </w:p>
    <w:p>
      <w:pPr>
        <w:pStyle w:val="null3"/>
        <w:ind w:firstLine="960"/>
      </w:pPr>
      <w:r>
        <w:rPr>
          <w:rFonts w:ascii="仿宋_GB2312" w:hAnsi="仿宋_GB2312" w:cs="仿宋_GB2312" w:eastAsia="仿宋_GB2312"/>
        </w:rPr>
        <w:t>详见附件：自行编制，格式不限.docx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详见附件：21合同文本.docx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