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版本号：ZCSP-渭南市-2025-00892.1B120260112001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渭南市水生态环境保护与提升方案编制项目(二次)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ZCSP-渭南市-2025-00892.1B1</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陕西诚信达工程建设咨询有限责任公司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陕西诚信达工程建设咨询有限责任公司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渭南市水生态环境保护与提升方案编制项目(二次)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ZCSP-渭南市-2025-00892.1B1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渭南市水生态环境保护与提升方案编制项目(二次)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分析渭南市卤阳湖、朝邑湖两湖水体理化性质、水生态现状，对两湖水生态系统健康评估及主要生态环境问题识别，分别形成渭南市卤阳湖、朝邑湖水生态环境问题分析报告，并编制完成渭南市水生态环境保护与提升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具有良好的商业信誉和健全的财务会计制度：提供2024年度的财务审计报告（至少包括资产负债表和利润表，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p>
      <w:pPr>
        <w:pStyle w:val="null3"/>
      </w:pPr>
      <w:r>
        <w:rPr>
          <w:rFonts w:ascii="仿宋_GB2312" w:hAnsi="仿宋_GB2312" w:cs="仿宋_GB2312" w:eastAsia="仿宋_GB2312"/>
        </w:rPr>
        <w:t>3、税收缴纳证明：提供响应文件递交截止时间前6个月内任意一个月的缴费凭据，依法免税的单位应提供相关证明材料；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5、无重大违法记录声明：供应商需提供参加政府采购活动近3年内在经营活动中没有重大违法纪录的书面声明；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0913-2158165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陕西诚信达工程建设咨询有限责任公司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陕西省西安市凤城七路长和国际B座16楼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开户名称：陕西诚信达工程建设咨询有限责任公司</w:t>
            </w:r>
          </w:p>
          <w:p>
            <w:pPr>
              <w:pStyle w:val="null3"/>
            </w:pPr>
            <w:r>
              <w:rPr>
                <w:rFonts w:ascii="仿宋_GB2312" w:hAnsi="仿宋_GB2312" w:cs="仿宋_GB2312" w:eastAsia="仿宋_GB2312"/>
              </w:rPr>
              <w:t>开户银行：中国工商银行渭南解放路支行</w:t>
            </w:r>
          </w:p>
          <w:p>
            <w:pPr>
              <w:pStyle w:val="null3"/>
            </w:pPr>
            <w:r>
              <w:rPr>
                <w:rFonts w:ascii="仿宋_GB2312" w:hAnsi="仿宋_GB2312" w:cs="仿宋_GB2312" w:eastAsia="仿宋_GB2312"/>
              </w:rPr>
              <w:t>银行账号：2605040419200007101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陕西诚信达工程建设咨询有限责任公司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陕西诚信达工程建设咨询有限责任公司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陕西诚信达工程建设咨询有限责任公司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联系人：刘芬</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地址：陕西省西安市凤城七路长和国际B座16楼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分析渭南市卤阳湖、朝邑湖两湖水体理化性质、水生态现状，对两湖水生态系统健康评估及主要生态环境问题识别，分别形成渭南市卤阳湖、朝邑湖水生态环境问题分析报告，并编制完成渭南市水生态环境保护与提升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渭南市水生态环境保护与提升方案编制项目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标的名称：渭南市水生态环境保护与提升方案编制项目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344"/>
              <w:gridCol w:w="1991"/>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1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333333"/>
                    </w:rPr>
                    <w:t>一、采购内容</w:t>
                  </w:r>
                </w:p>
                <w:p>
                  <w:pPr>
                    <w:pStyle w:val="null3"/>
                    <w:jc w:val="left"/>
                  </w:pPr>
                  <w:r>
                    <w:rPr>
                      <w:rFonts w:ascii="仿宋_GB2312" w:hAnsi="仿宋_GB2312" w:cs="仿宋_GB2312" w:eastAsia="仿宋_GB2312"/>
                      <w:sz w:val="21"/>
                    </w:rPr>
                    <w:t>通过分析渭南市卤阳湖、朝邑湖两湖水体理化性质、水生态现状，对两湖水生态系统健康评估及主要生态环境问题识别，</w:t>
                  </w:r>
                  <w:r>
                    <w:rPr>
                      <w:rFonts w:ascii="仿宋_GB2312" w:hAnsi="仿宋_GB2312" w:cs="仿宋_GB2312" w:eastAsia="仿宋_GB2312"/>
                      <w:sz w:val="21"/>
                    </w:rPr>
                    <w:t>分别形成渭南市卤阳湖、朝邑湖水生态环境问题分析报告，并编制完成渭南市水生态环境保护与提升方案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333333"/>
                    </w:rPr>
                    <w:t>二、服务指标的具体要求</w:t>
                  </w:r>
                </w:p>
                <w:p>
                  <w:pPr>
                    <w:pStyle w:val="null3"/>
                    <w:jc w:val="both"/>
                  </w:pPr>
                  <w:r>
                    <w:rPr>
                      <w:rFonts w:ascii="仿宋_GB2312" w:hAnsi="仿宋_GB2312" w:cs="仿宋_GB2312" w:eastAsia="仿宋_GB2312"/>
                      <w:sz w:val="21"/>
                    </w:rPr>
                    <w:t>对卤阳湖、朝邑湖水生态环境开展全面调查，对湖体及其周边排水（碱）渠水量、水质、底泥、典型水生生物等关键要素进行检测分析，精准评估水生态环境现状，剖析生态系统失衡、水质恶化等问题成因。技术支撑两湖流域及渭南市水生态环境质量提升。具体包括以下内容：</w:t>
                  </w:r>
                </w:p>
                <w:p>
                  <w:pPr>
                    <w:pStyle w:val="null3"/>
                    <w:jc w:val="both"/>
                  </w:pPr>
                  <w:r>
                    <w:rPr>
                      <w:rFonts w:ascii="仿宋_GB2312" w:hAnsi="仿宋_GB2312" w:cs="仿宋_GB2312" w:eastAsia="仿宋_GB2312"/>
                      <w:sz w:val="21"/>
                    </w:rPr>
                    <w:t>资料收集：系统收集卤阳湖和朝邑湖区域的历史水文、土地利用、社会经济、农业种植、灌溉用水、水环境监测数据、污染源调查、生态保护红线、相关流域规划等资料，并进行梳理和分析。</w:t>
                  </w:r>
                </w:p>
                <w:p>
                  <w:pPr>
                    <w:pStyle w:val="null3"/>
                    <w:jc w:val="both"/>
                  </w:pPr>
                  <w:r>
                    <w:rPr>
                      <w:rFonts w:ascii="仿宋_GB2312" w:hAnsi="仿宋_GB2312" w:cs="仿宋_GB2312" w:eastAsia="仿宋_GB2312"/>
                      <w:sz w:val="21"/>
                    </w:rPr>
                    <w:t>现场调查：对两湖区域的水环境和水生态本底进行调查，包括：水环境质量、入湖水量、水生生物、湿地植被、底质情况、污染来源等。进行实地勘察和采样分析，同时调查周边的工业园区、城镇生活污水排放口、农业面源污染分布情况等。</w:t>
                  </w:r>
                </w:p>
                <w:p>
                  <w:pPr>
                    <w:pStyle w:val="null3"/>
                    <w:jc w:val="both"/>
                  </w:pPr>
                  <w:r>
                    <w:rPr>
                      <w:rFonts w:ascii="仿宋_GB2312" w:hAnsi="仿宋_GB2312" w:cs="仿宋_GB2312" w:eastAsia="仿宋_GB2312"/>
                      <w:sz w:val="21"/>
                    </w:rPr>
                    <w:t>评估分析：依据相关标准和规范，对两湖区域的水环境质量现状、水生态系统健康状况进行评估，分析存在的主要问题及其成因，评估水环境</w:t>
                  </w:r>
                  <w:r>
                    <w:rPr>
                      <w:rFonts w:ascii="仿宋_GB2312" w:hAnsi="仿宋_GB2312" w:cs="仿宋_GB2312" w:eastAsia="仿宋_GB2312"/>
                      <w:sz w:val="21"/>
                    </w:rPr>
                    <w:t>-水生态现状、水体富营养化程度、生物多样性受损情况等。</w:t>
                  </w:r>
                </w:p>
                <w:p>
                  <w:pPr>
                    <w:pStyle w:val="null3"/>
                    <w:jc w:val="both"/>
                  </w:pPr>
                  <w:r>
                    <w:rPr>
                      <w:rFonts w:ascii="仿宋_GB2312" w:hAnsi="仿宋_GB2312" w:cs="仿宋_GB2312" w:eastAsia="仿宋_GB2312"/>
                      <w:sz w:val="21"/>
                    </w:rPr>
                    <w:t>确定治理目标：根据区域生态环境保护要求和两湖的水环境、水生态现状，明确综合治理的目标；确定改善水质、提高水体自净能力、防止生态退化的系统治理思路。</w:t>
                  </w:r>
                </w:p>
                <w:p>
                  <w:pPr>
                    <w:pStyle w:val="null3"/>
                    <w:jc w:val="both"/>
                  </w:pPr>
                  <w:r>
                    <w:rPr>
                      <w:rFonts w:ascii="仿宋_GB2312" w:hAnsi="仿宋_GB2312" w:cs="仿宋_GB2312" w:eastAsia="仿宋_GB2312"/>
                      <w:sz w:val="21"/>
                    </w:rPr>
                    <w:t>编制报告：分析两湖水体理化性质、水生态现状，对两湖水生态系统健康评估及主要生态环境问题识别，形成渭南市卤阳湖、朝邑湖水生态环境问题分析报告，并编制完成渭南市水生态环境保护与提升方案。</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在服务期限内,结合相关规范标准，完成渭南市卤阳湖和朝邑湖《水生态环境问题分析报告》、《渭南市水生态环境保护与提升方案》编制工作，通过专家技术评审，完成资料归档等工作。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完成所有工作内容</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向招标代理公司提供叁套纸质投标文件（经编标工具生成的文件直接打印并加盖公章），递交的纸质版文件内容确保与线上电子文件保持一致，不允许修改和补充。2、各供应商在转账时请注明________（项目名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分项报价.docx 报价表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报价表 分项报价.docx 响应文件封面 近三年类似项目业绩.docx 本项目拟投入人员汇总表.docx 残疾人福利性单位声明函 服务方案 标的清单 供应商资格证明文件.docx 响应函 磋商报价一览表.docx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 分项报价.docx 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对项目的理解及认识、重点、难点的分析</w:t>
            </w:r>
          </w:p>
        </w:tc>
        <w:tc>
          <w:tcPr>
            <w:tcW w:type="dxa" w:w="2492"/>
          </w:tcPr>
          <w:p>
            <w:pPr>
              <w:pStyle w:val="null3"/>
            </w:pPr>
            <w:r>
              <w:rPr>
                <w:rFonts w:ascii="仿宋_GB2312" w:hAnsi="仿宋_GB2312" w:cs="仿宋_GB2312" w:eastAsia="仿宋_GB2312"/>
              </w:rPr>
              <w:t>一、评审内容:对项目的理解及认识、重点、难点的分析包括但不限于：①项目的背景②内容及理解③成果要求④技术路线⑤项目重点、难点分析及应对措施。二、评审标准：各个部分内容全面、合理、逻辑清晰、阐述条理清晰且描述详细符合本项目采购需求有针对性，以上5项，以序号①、②、③、④、⑤为项数，内容无缺项、无漏项且无缺陷的得10分，其中每有一项内容存在缺项或漏项的扣2分，每项内容中每 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服务实施总体方案</w:t>
            </w:r>
          </w:p>
        </w:tc>
        <w:tc>
          <w:tcPr>
            <w:tcW w:type="dxa" w:w="2492"/>
          </w:tcPr>
          <w:p>
            <w:pPr>
              <w:pStyle w:val="null3"/>
            </w:pPr>
            <w:r>
              <w:rPr>
                <w:rFonts w:ascii="仿宋_GB2312" w:hAnsi="仿宋_GB2312" w:cs="仿宋_GB2312" w:eastAsia="仿宋_GB2312"/>
              </w:rPr>
              <w:t>一、评审内容：提供基于项目总体分析的总体技术方案，包括但不限于①总体实施计划；②实施方案；③现场调查与现状分析；④各项内容所依据的行业技术规范与标准。 二、评审标准：提供详细、合理、科学可行的方案 ，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数据保密与安全管理</w:t>
            </w:r>
          </w:p>
        </w:tc>
        <w:tc>
          <w:tcPr>
            <w:tcW w:type="dxa" w:w="2492"/>
          </w:tcPr>
          <w:p>
            <w:pPr>
              <w:pStyle w:val="null3"/>
            </w:pPr>
            <w:r>
              <w:rPr>
                <w:rFonts w:ascii="仿宋_GB2312" w:hAnsi="仿宋_GB2312" w:cs="仿宋_GB2312" w:eastAsia="仿宋_GB2312"/>
              </w:rPr>
              <w:t>一、评审内容：针对本项目数据保密与安全管理，包括但不限于：①数据保密管理②安全管理制度。 二、评审标准：提供详细、合理、科学可行的方案 ，方案符合本项目采购需求有针对性，以上2项，以序号①、②为项数，内容无缺项、无漏项且无缺陷的得6分，其中每有一项内容存在缺项或漏项的扣3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一：评审内容：①服务质量目标；②进度计划安排③质量保证措施。 二、评审标准：提供详细、合理、科学可行的方案 ，方案符合本项目采购需求有针对性，以上3项，以序号①、②、③、为项数，内容无缺项、无漏项且无缺陷的得9分，其中每有一项内容存在缺项或漏项的扣3分，每项内容中每 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针对本项目需求，制定详细可行的合理化建议，每提出一项得1分，最高得5分，未提供不得分。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一、评审内容：针对本项目提供应急方案，包括但不限于：①紧急状况处理方式；②应急情况处理措施；③突发事件应急人员安排。二、评审标准：提供详细、合理、科学可行的方案 ，方案符合本项目采购需求有针对性，以上3项，以序号①、②、③为项数，内容无缺项、无漏项且无缺陷的得6分，其中每有一项内容存在缺项或漏项的扣2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一、评审内容：服务承诺，包括但不限于：①服务质量的承诺；②出现问题响应时效的承诺；③接受采购人对服务的监督及管理的承诺；④配合采购人调整、完善方案的承诺。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一、拟派项目负责人具备环境类相关专业高级工程师职称得3分，中级职称的得1分； 二、供应商拟投入本项目的人员中，每具备一个环境相关专业技术职称证书得 2 分，最高得6分。注:提供人员职称证和投标截止时间前六个月内任一月（不含投标当月）在投标人单位缴纳的社保证明材料，加盖投标人公章，提供不完整或未提供不得分。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近三年（2022年10月至今，以合同签订时间为准）具有类似项目业绩，每提供一份得2分（以合同或成交通知书为准），最高得8分。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近三年类似项目业绩.docx</w:t>
            </w:r>
          </w:p>
        </w:tc>
      </w:tr>
      <w:tr>
        <w:tc>
          <w:tcPr>
            <w:tcW w:type="dxa" w:w="831"/>
            <w:vMerge/>
          </w:tcPr>
          <w:p/>
        </w:tc>
        <w:tc>
          <w:tcPr>
            <w:tcW w:type="dxa" w:w="1661"/>
          </w:tcPr>
          <w:p>
            <w:pPr>
              <w:pStyle w:val="null3"/>
            </w:pPr>
            <w:r>
              <w:rPr>
                <w:rFonts w:ascii="仿宋_GB2312" w:hAnsi="仿宋_GB2312" w:cs="仿宋_GB2312" w:eastAsia="仿宋_GB2312"/>
              </w:rPr>
              <w:t>设备保障</w:t>
            </w:r>
          </w:p>
        </w:tc>
        <w:tc>
          <w:tcPr>
            <w:tcW w:type="dxa" w:w="2492"/>
          </w:tcPr>
          <w:p>
            <w:pPr>
              <w:pStyle w:val="null3"/>
            </w:pPr>
            <w:r>
              <w:rPr>
                <w:rFonts w:ascii="仿宋_GB2312" w:hAnsi="仿宋_GB2312" w:cs="仿宋_GB2312" w:eastAsia="仿宋_GB2312"/>
              </w:rPr>
              <w:t>投标人具有多参数水质测量仪、便携式流速仪、柱状采泥器设备的，每提供1项得1分。注：以上设备均需提供购买合同或发票或租赁凭证。（须提供相关证明材料，未提供或提供证明材料不齐全的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 磋商报价得分=（磋商基准价/最终磋商报价）×价格权值（即20%）×100；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详见附件：近三年类似项目业绩.docx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