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版本号：ZCSP-渭南市-2025-00930、DLCG2025-11220260123001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渭南市沿黄旅游道（渭南段）景观标识及游客配套建设项目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ZCSP-渭南市-2025-00930、DLCG2025-112</w:t>
      </w:r>
      <w:r>
        <w:br/>
      </w:r>
      <w:r>
        <w:br/>
      </w:r>
      <w:r>
        <w:br/>
      </w:r>
    </w:p>
    <w:p>
      <w:pPr>
        <w:pStyle w:val="null3"/>
        <w:jc w:val="center"/>
        <w:outlineLvl w:val="2"/>
      </w:pPr>
      <w:r>
        <w:rPr>
          <w:rFonts w:ascii="仿宋_GB2312" w:hAnsi="仿宋_GB2312" w:cs="仿宋_GB2312" w:eastAsia="仿宋_GB2312"/>
          <w:sz w:val="28"/>
          <w:b/>
        </w:rPr>
        <w:t>渭南市文化和旅游局</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渭南市沿黄旅游道（渭南段）景观标识及游客配套建设项目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ZCSP-渭南市-2025-00930、DLCG2025-112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渭南市沿黄旅游道（渭南段）景观标识及游客配套建设项目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渭南市沿黄旅游道（渭南段）景观标识及游客配套建设，包括在沿黄旅游道各县市区等旅游区域设置特大型标识牌、三色标线、地面标识、观光点及网红打卡标牌等旅游标识系统建设。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采购包1（渭南市沿黄旅游道（渭南段）景观标识及游客配套建设项目）：属于专门面向中小企业采购。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企业资质要求：供应商须具备公路交通工程专业承包资质(公路安全设施分项)二级(含二级)及以上资质或公路工程施工总承包三级(含三级)及以上资质或市政公用工程施工总承包三级(含三级)及以上资质，并具有有效的安全生产许可证。</w:t>
      </w:r>
    </w:p>
    <w:p>
      <w:pPr>
        <w:pStyle w:val="null3"/>
      </w:pPr>
      <w:r>
        <w:rPr>
          <w:rFonts w:ascii="仿宋_GB2312" w:hAnsi="仿宋_GB2312" w:cs="仿宋_GB2312" w:eastAsia="仿宋_GB2312"/>
        </w:rPr>
        <w:t>3、项目经理：项目经理须具有公路工程二级及以上注册建造师资格或市政公用工程二级及以上注册建造师资格并具有有效的安全生产考核合格证，且无在建工程。</w:t>
      </w:r>
    </w:p>
    <w:p>
      <w:pPr>
        <w:pStyle w:val="null3"/>
      </w:pPr>
      <w:r>
        <w:rPr>
          <w:rFonts w:ascii="仿宋_GB2312" w:hAnsi="仿宋_GB2312" w:cs="仿宋_GB2312" w:eastAsia="仿宋_GB2312"/>
        </w:rPr>
        <w:t>4、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5、供应商不得存在下列情形之一：1）单位负责人为同一人或者存在直接控股、管理关系的不同供应商，不得参加同一合同项下的政府采购活动； 2）为本项目提供整体设计、规范编制或者项目管理、监理、检测等服务的供应商，不得再参加本次采购活动。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857号）的有关规定标准，成交供应商向采购代理机构一次性付清采购代理服务费。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本工程应按磋商文件及工程量清单完成工程全部内容，验收标准应符合国家相关工程管理规定及行业标准。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联系人：郑琳娜</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1,976,776.24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渭南市沿黄旅游道（渭南段）景观标识及游客配套建设项目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标的名称：渭南市沿黄旅游道（渭南段）景观标识及游客配套建设项目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渭南市沿黄旅游道（渭南段）景观标识及游客配套建设，</w:t>
            </w:r>
            <w:r>
              <w:rPr>
                <w:rFonts w:ascii="仿宋_GB2312" w:hAnsi="仿宋_GB2312" w:cs="仿宋_GB2312" w:eastAsia="仿宋_GB2312"/>
                <w:sz w:val="21"/>
              </w:rPr>
              <w:t>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《道路交通标志和标线》GB5768.2-2022; 《公路交通标志反光膜》GB/T18833-2012 《道路交通标志板及支撑件》GB/T23827-2021 《城市道路交通标志和标线设置规范》(GB51038-2015) 《建筑结构荷载规范》GB50009-2012 《混凝土结构设计标准》GB/T50010-2010（2024 年版） 《钢结构设计标准》GB50017-2017 《钢结构工程施工质量验收标准》GB50205-2020 《钢结构焊接规范》GB50661-2011 《建筑地基基础设计规范》GB50007-2011 除上述规范以外的遵循国家现行的其它相关规范和标准要求，并统一执行最新标准规范。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1.工期：120日历天。 2.质量标准：达到国家现行行业施工验收规范“合格”标准。 3.质保期：自竣工验收合格之日起一年。 4付款方式：本工程进度付款依据工程进度情况按比例将进度应付款支付给供应商。合同签订后，拨付至合同总金额的40%，工程完工后，进度款拨付至供应商合同总金额的90%;本工程竣工验收后需要进行结算审计，最终的结算审定金额为本工程的最终合同价款;审计报告出具后采购人付清全部合同价款。 5.其他要求 （1）在施工范围内按施工内容和要求制定详细的施工组织设计方案，方案科学、合理、可靠。 （2）人员配备合理。有针对本项目的项目团队，项目负责人、配备人员分工明确(应有具体成员名单，包括姓名、工作职责等) （3）有各类突发事件的应急预案和措施，有明确具体的承诺。 （4）供应商须严格落实安全管理措施及交通组织措施，保障施工作业人员及过往行人的人身安全，杜绝各类安全事故发生。因施工方原因引发的安全事故，其相应责任及经济损失均由成交供应商自行承担，采购人不承担任何责任及赔偿义务。 （5）供应商负责施工期间与相关部门的协调，并承担相关责任及发生的相关费用，必须确保本项目施工最终验收通过。 （6）本工程应按图纸、工程量清单及磋商文件完成全部内容。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1.成交供应商在成交结果公告发布后3个工作日内提供叁套纸质磋商响应文件（经编标工具生成的文件直接打印并加盖公章），递交的纸质版文件内容确保与线上电子文件保持一致，不允许修改和补充。 2..成交供应商应在磋商会议结束后3日内向采购人提交最终版《工程量清单表》，供应商最终版《工程量清单表》中的总报价应与最终磋商总报价保持一致。3.该项目采购标的所属行业，为采购文件中明确的所属行业。供应商应根据《政府采购促进中小企业发展管理办法》、《关于印发中小企业划型标准规定的通知》(工信部联企业(2011)300号)要求和采购文件规定的采购标的所属行业进行企业划型。4.出具磋商保证金交纳凭证或担保机构出具的保函（未按磋商文件要求提供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本项目专门面向中小企业，供应商应为中型、小型或微型企业并提供中小企业声明函。（残疾人福利性企业及监狱企业视同为小型、微型企业）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公路交通工程专业承包资质(公路安全设施分项)二级(含二级)及以上资质或公路工程施工总承包三级(含三级)及以上资质或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项目经理须具有公路工程二级及以上注册建造师资格或市政公用工程二级及以上注册建造师资格并具有有效的安全生产考核合格证，且无在建工程。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 2）为本项目提供整体设计、规范编制或者项目管理、监理、检测等服务的供应商，不得再参加本次采购活动。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磋商响应文件签字和盖章满足磋商文件的要求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供应商应提交的相关资格证明材料..docx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投标（响应）有效期（90日历天）满足磋商文件的要求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供应商磋商报价未出现选择性报价，未超出采购最高限价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合同履行期（工期）</w:t>
            </w:r>
          </w:p>
        </w:tc>
        <w:tc>
          <w:tcPr>
            <w:tcW w:type="dxa" w:w="3322"/>
          </w:tcPr>
          <w:p>
            <w:pPr>
              <w:pStyle w:val="null3"/>
            </w:pPr>
            <w:r>
              <w:rPr>
                <w:rFonts w:ascii="仿宋_GB2312" w:hAnsi="仿宋_GB2312" w:cs="仿宋_GB2312" w:eastAsia="仿宋_GB2312"/>
              </w:rPr>
              <w:t>合同履行期（工期）满足或优于采购要求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评审得分相同的，按照最后报价由低到高的顺序推荐。评审得分且最后报价相同的，按照技术指标优劣顺序推荐。评审得分且最后报价且技术指标得分均相同的，由磋商小组无记名投票推荐。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一、评审内容：针对本项目提供完善的施工方案，包括但不限于：①施工方案总体说明； ②整体施工方案；③施工要求和技术保证条件。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施工进度安排及工期保障措施</w:t>
            </w:r>
          </w:p>
        </w:tc>
        <w:tc>
          <w:tcPr>
            <w:tcW w:type="dxa" w:w="2492"/>
          </w:tcPr>
          <w:p>
            <w:pPr>
              <w:pStyle w:val="null3"/>
            </w:pPr>
            <w:r>
              <w:rPr>
                <w:rFonts w:ascii="仿宋_GB2312" w:hAnsi="仿宋_GB2312" w:cs="仿宋_GB2312" w:eastAsia="仿宋_GB2312"/>
              </w:rPr>
              <w:t>一、评审内容：针对本项目提供完善的施工进度安排及工期保障措施，包括但不限于：① 进度安排、分析关键节点；②确保进 度、保证工期的的技术组织措施（包括施工进度表或施工网络图）。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针对本项目提供完善的施工质量保证措施，包括但不限于：①质量保证承诺及保证措施；②总体质量控制目标及分阶段施工的重点难点分析；③施工检测及工序方案。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一、评审内容 针对本项目提供安全生产技术组织措施，包括但不限于①安全生产管理制度、配置安全组织机构；②安全隐患排查、整改制度；③防火防灾和应急处置措施；④自然灾害、极端天气应急措施。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文明及环境保护措施</w:t>
            </w:r>
          </w:p>
        </w:tc>
        <w:tc>
          <w:tcPr>
            <w:tcW w:type="dxa" w:w="2492"/>
          </w:tcPr>
          <w:p>
            <w:pPr>
              <w:pStyle w:val="null3"/>
            </w:pPr>
            <w:r>
              <w:rPr>
                <w:rFonts w:ascii="仿宋_GB2312" w:hAnsi="仿宋_GB2312" w:cs="仿宋_GB2312" w:eastAsia="仿宋_GB2312"/>
              </w:rPr>
              <w:t>一、评审内容 针对本项目提供文明及环境保护措施，包括但不限于①文明及环境保护管理制度；②防尘降噪、节能减排措施。 二、评审标准：提供详细、合理、科学可行的方案，方案符合本项目采购需求有针对性，以上2项，以序号①、②为项数，内容无缺项、无漏项且无缺陷的得4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针对本项目提供完善的施工机械配备和材料投入计划，包括但不限于：①施工机械配置及维护保养计划；②施工材料投入及贮存计划。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针对本项目团队人员配备方案，包括但不限于：①项目管理组织架构及管理制度；②岗位安排及职责（配备施工员、安全员、资料员、材料员、质量员等）；③专业技术人员投入情况（提供人员证书等）。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保修服务措施</w:t>
            </w:r>
          </w:p>
        </w:tc>
        <w:tc>
          <w:tcPr>
            <w:tcW w:type="dxa" w:w="2492"/>
          </w:tcPr>
          <w:p>
            <w:pPr>
              <w:pStyle w:val="null3"/>
            </w:pPr>
            <w:r>
              <w:rPr>
                <w:rFonts w:ascii="仿宋_GB2312" w:hAnsi="仿宋_GB2312" w:cs="仿宋_GB2312" w:eastAsia="仿宋_GB2312"/>
              </w:rPr>
              <w:t>一、评审内容： 针对本项目提供完善的保修服务措施，包括但不限于：①维保措施；②保修责任及保修承诺；③售后响应时间及方式。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供应商提供自2023年1月1日至今类似业绩的证明材料（合同或中标/成交通知书复印件加盖公章，以合同签订时间或中标/成交通知书发出为准）每提供一项得1分，最高得3分，不提供不得分。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满足竞争性磋商文件要求且磋商价格最低的磋商报价为评标基准价，其价格分为满分。其他供应商的价格分统一按照下列公式计算：磋商报价得分=（评标基准价/有效报价）×价格权重（40%）×100。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