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版本号：ZCSP-渭南市-2025-00881.1B120251224001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渭南市沿黄旅游道部分路段驿站提升改造及旅游标识系统建设项目(二次)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ZCSP-渭南市-2025-00881.1B1</w:t>
      </w:r>
      <w:r>
        <w:br/>
      </w:r>
      <w:r>
        <w:br/>
      </w:r>
      <w:r>
        <w:br/>
      </w:r>
    </w:p>
    <w:p>
      <w:pPr>
        <w:pStyle w:val="null3"/>
        <w:jc w:val="center"/>
        <w:outlineLvl w:val="2"/>
      </w:pPr>
      <w:r>
        <w:rPr>
          <w:rFonts w:ascii="仿宋_GB2312" w:hAnsi="仿宋_GB2312" w:cs="仿宋_GB2312" w:eastAsia="仿宋_GB2312"/>
          <w:sz w:val="28"/>
          <w:b/>
        </w:rPr>
        <w:t>渭南市文化和旅游局</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渭南市文化和旅游局</w:t>
      </w:r>
      <w:r>
        <w:rPr>
          <w:rFonts w:ascii="仿宋_GB2312" w:hAnsi="仿宋_GB2312" w:cs="仿宋_GB2312" w:eastAsia="仿宋_GB2312"/>
        </w:rPr>
        <w:t>委托，拟对</w:t>
      </w:r>
      <w:r>
        <w:rPr>
          <w:rFonts w:ascii="仿宋_GB2312" w:hAnsi="仿宋_GB2312" w:cs="仿宋_GB2312" w:eastAsia="仿宋_GB2312"/>
        </w:rPr>
        <w:t>渭南市沿黄旅游道部分路段驿站提升改造及旅游标识系统建设项目(二次)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ZCSP-渭南市-2025-00881.1B1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渭南市沿黄旅游道部分路段驿站提升改造及旅游标识系统建设项目(二次)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对沿黄公路大荔驿站实施提升改造建设，在沿黄公路大荔段、合阳段、潼关段以及G310国道华阴段、临渭段等重要交通节点布设导视牌等旅游标识系统建设。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采购包1（渭南市沿黄旅游道部分路段驿站提升改造及旅游标识系统建设项目）：属于专门面向中小企业采购。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公路交通工程专业承包资质（公路安全设施分项）二级（含二级）及以上资质或公路工程施工总承包三级（含三级）及以上资质或市政公用工程施工总承包三级（含三级）及以上资质，并具有有效的安全生产许可证；</w:t>
      </w:r>
    </w:p>
    <w:p>
      <w:pPr>
        <w:pStyle w:val="null3"/>
      </w:pPr>
      <w:r>
        <w:rPr>
          <w:rFonts w:ascii="仿宋_GB2312" w:hAnsi="仿宋_GB2312" w:cs="仿宋_GB2312" w:eastAsia="仿宋_GB2312"/>
        </w:rPr>
        <w:t>2、项目经理：拟派项目经理须具有公路工程二级及以上注册建造师资格或市政公用工程二级及以上注册建造师资格并具有有效的安全生产考核合格证，且无在建工程；</w:t>
      </w:r>
    </w:p>
    <w:p>
      <w:pPr>
        <w:pStyle w:val="null3"/>
      </w:pPr>
      <w:r>
        <w:rPr>
          <w:rFonts w:ascii="仿宋_GB2312" w:hAnsi="仿宋_GB2312" w:cs="仿宋_GB2312" w:eastAsia="仿宋_GB2312"/>
        </w:rPr>
        <w:t>3、法定代表人身份证明书/法定代表人授权书：法定代表人参与磋商时需提供法定代表人身份证明书；被授权人参与磋商时需提供法定代表人身份证明书及法定代表人授权委托书；</w:t>
      </w:r>
    </w:p>
    <w:p>
      <w:pPr>
        <w:pStyle w:val="null3"/>
      </w:pPr>
      <w:r>
        <w:rPr>
          <w:rFonts w:ascii="仿宋_GB2312" w:hAnsi="仿宋_GB2312" w:cs="仿宋_GB2312" w:eastAsia="仿宋_GB2312"/>
        </w:rPr>
        <w:t>4、磋商保证金：磋商保证金交纳凭证</w:t>
      </w:r>
    </w:p>
    <w:p>
      <w:pPr>
        <w:pStyle w:val="null3"/>
      </w:pPr>
      <w:r>
        <w:rPr>
          <w:rFonts w:ascii="仿宋_GB2312" w:hAnsi="仿宋_GB2312" w:cs="仿宋_GB2312" w:eastAsia="仿宋_GB2312"/>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0913-2931900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渭南市文化和旅游局</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渭南市文化和旅游局</w:t>
      </w:r>
      <w:r>
        <w:rPr>
          <w:rFonts w:ascii="仿宋_GB2312" w:hAnsi="仿宋_GB2312" w:cs="仿宋_GB2312" w:eastAsia="仿宋_GB2312"/>
        </w:rPr>
        <w:t>负责解释。除上述磋商文件内容，其他内容由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1、供应商必须保证本工程质量，并按相关规定，办理工程质量检测手续，向采购人提交工程质量报告。 2、本工程以施工图纸、作法说明、设计变更等国家制订的施工及验收规范为本工程质量评定验收标准。 3、供应商应及时通知采购人对施工过程中的隐蔽工程进行检查和验收，并做好验收记录。如不及时参加验收，供应商可自行验收，采购人应予承认。 4、工程竣工前，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 5、在验收过程中发现供应商有违约问题，应向财政部门建议暂缓资金结算，待违约问题解决后，方可办理资金结算事宜。</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联系人：董鹏飞</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3,600,000.00</w:t>
      </w:r>
    </w:p>
    <w:p>
      <w:pPr>
        <w:pStyle w:val="null3"/>
      </w:pPr>
      <w:r>
        <w:rPr>
          <w:rFonts w:ascii="仿宋_GB2312" w:hAnsi="仿宋_GB2312" w:cs="仿宋_GB2312" w:eastAsia="仿宋_GB2312"/>
        </w:rPr>
        <w:t>采购包最高限价（元）: 3,550,083.31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渭南市沿黄旅游道部分路段驿站提升改造及旅游标识系统建设项目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3,600,000.00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标的名称：渭南市沿黄旅游道部分路段驿站提升改造及旅游标识系统建设项目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对沿黄公路大荔驿站实施提升改造建设，在沿黄公路大荔段、合阳段、潼关段以及G310国道华阴段、临渭段等重要交通节点布设导视牌等旅游标识系统建设。</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《道路交通标志和标线》GB5768.2-2022； 《公路交通标志反光膜》GB/T18833-2012； 《道路交通标志板及支撑件》GB/T23827-2009； 《城市道路交通标志和标线设置规范》(GB51038-2015)； 《建筑结构荷载规范》GB50009-2012； 《混凝土结构设计标准》GB50010-2010； 《钢结构设计标准》GB50017-2017； 《钢结构工程施工质量验收标准》GB50205-2020； 《钢结构焊接规范》GB50661-2011； 《建筑地基基础设计规范》GB50007-2011； 其他相关的国家现行有关设计规范、规程和地方法规、标准。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（1）工期：120日历天。 （2）工程地点：沿黄公路大荔段、合阳段、潼关段以及G310国道华阴段、临渭段等。 （3）质量标准：合格，达到国家现行技术标准。 （4）质保期：自竣工验收合格之日起一年。 （5）付款方式：本工程进度付款依据工程进度情况按比例将进度应付款支付给供应商。合同签订后，拨付至合同总金额的40%，工程完工后，进度款拨付至供应商合同总金额的90%；本工程竣工验收后需要进行结算审计，最终的结算审定金额为本工程的最终合同价款；审计报告出具后采购人付清全部合同价款。（6）工程项目建设相关要求：本项目严格执行国家相关标准、行业标准、地方标准等。 （7）本工程应按图纸、工程量清单及磋商文件完成全部内容。 （8）依据磋商文件、成交人响应文件及签证单等文件进行验收。 （9）供应商严格执行安全措施和交通组织措施，以保证施工及过往行人人身安全，杜绝安全事故的发生，因施工原因造成安全事故的责任和损失由成交人自行承担，采购人概不负责任和赔偿。 （10）供应商负责施工期间与相关部门的协调，并承担相关责任及发生的相关费用，必须确保本项目施工最终验收通过。（11）本项目担任项目经理的建造师、项目技术负责人、专职安全员、质量员、材料员等施工现场关键岗位人员必须与投标文件中人员一致，本项目建设工期内实行实名考勤制，所有人员严格按照跪地项目驻场。违反上述要求将按照住建部以及陕西省住建厅《关于对全省建筑施工现场关键岗位人员实施实名制管理的通知》（陕建发〔2014〕194号）相关法律法规，采购任将上报住建部门进行处理直至解除施工合同，并追究相关责任。</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 xml:space="preserve"> 1.根据《政府采购法实施条例》释义，银行、保险、石油石化、电力、电信等有行业特殊情况的，允许法人的分支机构参加政府采购活动。2.中标（成交）供应商在中标（成交）结果公告发布后3个工作日内提供叁套纸质投标文件（经编标工具生成的文件直接打印并加盖公章），递交的纸质版文件内容确保与线上电子文件保持一致，不允许修改和补充。 3.成交供应商应在磋商会议结束后3日内向采购人提交最终版《工程量清单表》，供应商最终版《工程量清单表》中的总报价应与最终磋商总报价保持一致。 4.中小企业划型标准：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合法有效，提供具有独立承担民事责任的能力的证明材料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1）财务状况报告：提供具有财务审计资质单位出具的2024年度财务审计报告（成立时间至磋商时间不足一年的可提供成立后任意时段的资产负债表）或响应文件截止时间前六个月内其基本账户银行出具的资信证明（附基本账户证明）或政府采购信用担保机构出具的磋商担保函； （2）税收缴纳证明：提供响应文件递交截止时间前一年内任意一个月的缴费凭据；依法免税的应提供相关文件证明； （3）社会保障资金缴纳证明：提供响应文件递交截止时间前一年内任意一个月的社保缴费凭据或社保机构开具的社会保险参保缴费情况证明；依法不需要缴纳社会保障资金的供应商应提供相关文件证明；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成交供应商的承诺函同成交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提供具有履行本合同所必需的设备和专业技术能力的说明或承诺；（承诺函格式自拟，并进行签章）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参加政府采购活动前三年内在经营活动中无重大违法记录的书面声明；（声明函格式自拟，并进行签章）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本项目专门面向中小企业采购，本项目所属行业为：建筑业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公路交通工程专业承包资质（公路安全设施分项）二级（含二级）及以上资质或公路工程施工总承包三级（含三级）及以上资质或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拟派项目经理须具有公路工程二级及以上注册建造师资格或市政公用工程二级及以上注册建造师资格并具有有效的安全生产考核合格证，且无在建工程；</w:t>
            </w:r>
          </w:p>
        </w:tc>
        <w:tc>
          <w:tcPr>
            <w:tcW w:type="dxa" w:w="1661"/>
          </w:tcPr>
          <w:p>
            <w:pPr>
              <w:pStyle w:val="null3"/>
            </w:pPr>
            <w:r>
              <w:rPr>
                <w:rFonts w:ascii="仿宋_GB2312" w:hAnsi="仿宋_GB2312" w:cs="仿宋_GB2312" w:eastAsia="仿宋_GB2312"/>
              </w:rPr>
              <w:t>技术方案.docx 项目管理机构组成表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法定代表人身份证明书/法定代表人授权书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法定代表人参与磋商时需提供法定代表人身份证明书；被授权人参与磋商时需提供法定代表人身份证明书及法定代表人授权委托书；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供应商名称应与营业执照、资质证书、安全生产许可证及获取磋商文件时相一致</w:t>
            </w:r>
          </w:p>
        </w:tc>
        <w:tc>
          <w:tcPr>
            <w:tcW w:type="dxa" w:w="1661"/>
          </w:tcPr>
          <w:p>
            <w:pPr>
              <w:pStyle w:val="null3"/>
            </w:pPr>
            <w:r>
              <w:rPr>
                <w:rFonts w:ascii="仿宋_GB2312" w:hAnsi="仿宋_GB2312" w:cs="仿宋_GB2312" w:eastAsia="仿宋_GB2312"/>
              </w:rPr>
              <w:t>技术方案.docx 技术服务合同条款及其他商务要求应答表.docx 已标价工程量清单 中小企业声明函 供应商应提交的相关资格证明材料 强制优先采购产品承诺函 响应文件封面 政府采购供应商拒绝政府采购领域商业贿赂承诺书.docx 项目管理机构组成表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技术方案.docx 技术服务合同条款及其他商务要求应答表.docx 已标价工程量清单 中小企业声明函 供应商应提交的相关资格证明材料 强制优先采购产品承诺函 响应文件封面 政府采购供应商拒绝政府采购领域商业贿赂承诺书.docx 项目管理机构组成表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工期是否满足磋商文件规定</w:t>
            </w:r>
          </w:p>
        </w:tc>
        <w:tc>
          <w:tcPr>
            <w:tcW w:type="dxa" w:w="1661"/>
          </w:tcPr>
          <w:p>
            <w:pPr>
              <w:pStyle w:val="null3"/>
            </w:pPr>
            <w:r>
              <w:rPr>
                <w:rFonts w:ascii="仿宋_GB2312" w:hAnsi="仿宋_GB2312" w:cs="仿宋_GB2312" w:eastAsia="仿宋_GB2312"/>
              </w:rPr>
              <w:t>技术服务合同条款及其他商务要求应答表.docx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磋商报价没有超出本项目最高限价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技术方案.docx 技术服务合同条款及其他商务要求应答表.docx 已标价工程量清单 中小企业声明函 供应商应提交的相关资格证明材料 强制优先采购产品承诺函 响应文件封面 政府采购供应商拒绝政府采购领域商业贿赂承诺书.docx 项目管理机构组成表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无其他无效磋商处理的情况</w:t>
            </w:r>
          </w:p>
        </w:tc>
        <w:tc>
          <w:tcPr>
            <w:tcW w:type="dxa" w:w="1661"/>
          </w:tcPr>
          <w:p>
            <w:pPr>
              <w:pStyle w:val="null3"/>
            </w:pPr>
            <w:r>
              <w:rPr>
                <w:rFonts w:ascii="仿宋_GB2312" w:hAnsi="仿宋_GB2312" w:cs="仿宋_GB2312" w:eastAsia="仿宋_GB2312"/>
              </w:rPr>
              <w:t>技术方案.docx 技术服务合同条款及其他商务要求应答表.docx 已标价工程量清单 中小企业声明函 供应商应提交的相关资格证明材料 强制优先采购产品承诺函 响应文件封面 政府采购供应商拒绝政府采购领域商业贿赂承诺书.docx 项目管理机构组成表 残疾人福利性单位声明函 报价函 标的清单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评审得分相同的，按照最后报价由低到高的顺序推荐。评审得分且最后报价相同的，按照技术指标优劣顺序推荐。评审得分且最后报价且技术指标得分均相同的，由磋商小组无记名投票推荐。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①施工总平面布置； ②施工阶段划分及施工顺序安排； ③施工目标：安全目标、工期目标、质量目标； ④资源配备计划：主要施工机械设备、劳动力等配备计划及主材进场计划；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①施工准备； ②施工方法及相关技术措施； ③重点难点工程分析及解决措施。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①施工进度计划； ②工期保障措施。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①质量管理体系； ②施工质量保障措施。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 ①安全生产管理体系； ②安全生产保证措施。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（一）评审内容： ①文明施工及环境保护管理体系； ②防尘降噪措施； ③文明施工及环境保护措施。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评审内容： （1）项目管理机构中每具有一个工程类中级职称得0.5分，具有高级职称得1分；本项最高得2分。 （2）根据项目人员配备情况：拟投入的项目管理机构人员结构合理、岗位职责明确，除项目经理外，项目管理机构配备6人以上（含6人）得3分，每少1人扣0.5分，扣完为止，本项最高得3分； 注：须提供人员相关证件，不提供或完全背离评审标准得0分。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供应商针对本项目提出合理化建议： 每提出一条有利于本项目实施的合理化建议得1分。本项最高得4分。未提供或提出的建议与本项目无关或无可行性的得0分。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供应商提供近三年（2022年12月至今）的类似业绩，每提供一份得1分，最多得3分，未提供得0分。（提供合同扫描件，以合同签订时间为准）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不高于最高限价，且经磋商小组评审不低于成本价的最终磋商报价为有效磋商报价。 (2) 满足竞争性磋商文件要求且磋商价格最低的最终磋商报价为磋商基准价，得满分40分； (3) 磋商报价得分=(磋商基准价／最终磋商报价)×40%×100。 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详见附件：技术服务合同条款及其他商务要求应答表.docx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