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版本号：SXTW-2026-010120260127001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渭南市城市基础设施更新改造重点领域实施方案</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SXTW-2026-0101</w:t>
      </w:r>
      <w:r>
        <w:br/>
      </w:r>
      <w:r>
        <w:br/>
      </w:r>
      <w:r>
        <w:br/>
      </w:r>
    </w:p>
    <w:p>
      <w:pPr>
        <w:pStyle w:val="null3"/>
        <w:jc w:val="center"/>
        <w:outlineLvl w:val="2"/>
      </w:pPr>
      <w:r>
        <w:rPr>
          <w:rFonts w:ascii="仿宋_GB2312" w:hAnsi="仿宋_GB2312" w:cs="仿宋_GB2312" w:eastAsia="仿宋_GB2312"/>
          <w:sz w:val="28"/>
          <w:b/>
        </w:rPr>
        <w:t>渭南市住房和城乡建设局</w:t>
      </w:r>
    </w:p>
    <w:p>
      <w:pPr>
        <w:pStyle w:val="null3"/>
        <w:jc w:val="center"/>
        <w:outlineLvl w:val="2"/>
      </w:pPr>
      <w:r>
        <w:rPr>
          <w:rFonts w:ascii="仿宋_GB2312" w:hAnsi="仿宋_GB2312" w:cs="仿宋_GB2312" w:eastAsia="仿宋_GB2312"/>
          <w:sz w:val="28"/>
          <w:b/>
        </w:rPr>
        <w:t>陕西侗伟项目管理有限公司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2026年01月27日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陕西侗伟项目管理有限公司</w:t>
      </w:r>
      <w:r>
        <w:rPr>
          <w:rFonts w:ascii="仿宋_GB2312" w:hAnsi="仿宋_GB2312" w:cs="仿宋_GB2312" w:eastAsia="仿宋_GB2312"/>
        </w:rPr>
        <w:t>（以下简称“代理机构”）受</w:t>
      </w:r>
      <w:r>
        <w:rPr>
          <w:rFonts w:ascii="仿宋_GB2312" w:hAnsi="仿宋_GB2312" w:cs="仿宋_GB2312" w:eastAsia="仿宋_GB2312"/>
        </w:rPr>
        <w:t>渭南市住房和城乡建设局</w:t>
      </w:r>
      <w:r>
        <w:rPr>
          <w:rFonts w:ascii="仿宋_GB2312" w:hAnsi="仿宋_GB2312" w:cs="仿宋_GB2312" w:eastAsia="仿宋_GB2312"/>
        </w:rPr>
        <w:t>委托，拟对</w:t>
      </w:r>
      <w:r>
        <w:rPr>
          <w:rFonts w:ascii="仿宋_GB2312" w:hAnsi="仿宋_GB2312" w:cs="仿宋_GB2312" w:eastAsia="仿宋_GB2312"/>
        </w:rPr>
        <w:t>渭南市城市基础设施更新改造重点领域实施方案</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SXTW-2026-0101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渭南市城市基础设施更新改造重点领域实施方案</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按照陕西省发展和改革委员会、陕西省住房和城乡建设厅《关于抓紧编制城市基础设施更新改造重点领域实施方案的通知》要求，为进一步做好2025-2027年城市更新中央预算内投资项目谋划申报工作，编制《渭南市城市基础设施更新改造重点领域实施方案》。</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采购包1（渭南市城市基础设施更新改造重点领域实施方案）：属于专门面向中小企业采购。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证明文件：营业执照等证明文件合法有效，具有独立承担民事责任的能力且具备向采购人提供相关服务的企业法人、其他组织或自然人，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具有财务审计资质单位出具的2024年度财务审计报告（若成立时间至磋商文件递交截止时间前不足一年的可提供成立后任意时段的资产负债表）或磋商文件递交截止时间前六个月内其基本账户银行出具的资信证明（附基本账户证明）或政府采购信用担保机构出具的投标担保函；</w:t>
      </w:r>
    </w:p>
    <w:p>
      <w:pPr>
        <w:pStyle w:val="null3"/>
      </w:pPr>
      <w:r>
        <w:rPr>
          <w:rFonts w:ascii="仿宋_GB2312" w:hAnsi="仿宋_GB2312" w:cs="仿宋_GB2312" w:eastAsia="仿宋_GB2312"/>
        </w:rPr>
        <w:t>3、社保缴纳证明：提供递交磋商文件截止之日前一年内任意一个月的社会保障资金缴存单据或社保机构开具的社会保险参保缴费情况证明；依法不需要缴纳社会保障资金的供应商应提供相关证明文件</w:t>
      </w:r>
    </w:p>
    <w:p>
      <w:pPr>
        <w:pStyle w:val="null3"/>
      </w:pPr>
      <w:r>
        <w:rPr>
          <w:rFonts w:ascii="仿宋_GB2312" w:hAnsi="仿宋_GB2312" w:cs="仿宋_GB2312" w:eastAsia="仿宋_GB2312"/>
        </w:rPr>
        <w:t>4、税收缴纳证明：提供递交磋商文件截止之日前一年内任意一个月的依法缴纳税收的相关凭据（时间以税款所属日期为准、增值税、企业所得税至少提供一种），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5、书面声明：提供具有履行本合同所必需的设备和专业技术能力的说明及承诺；</w:t>
      </w:r>
    </w:p>
    <w:p>
      <w:pPr>
        <w:pStyle w:val="null3"/>
      </w:pPr>
      <w:r>
        <w:rPr>
          <w:rFonts w:ascii="仿宋_GB2312" w:hAnsi="仿宋_GB2312" w:cs="仿宋_GB2312" w:eastAsia="仿宋_GB2312"/>
        </w:rPr>
        <w:t>6、无重大违法、违纪书面声明：参加政府采购活动前三年内在经营活动中无重大违法记录的书面声明；</w:t>
      </w:r>
    </w:p>
    <w:p>
      <w:pPr>
        <w:pStyle w:val="null3"/>
      </w:pPr>
      <w:r>
        <w:rPr>
          <w:rFonts w:ascii="仿宋_GB2312" w:hAnsi="仿宋_GB2312" w:cs="仿宋_GB2312" w:eastAsia="仿宋_GB2312"/>
        </w:rPr>
        <w:t>7、信用记录：供应商不得为“信用中国”网站（www.creditchi na.gov.cn）中列入重大税收违法失信主体的供应商；不得为“中国执行信息公开网”（https://zxgk.court.gov.cn）中列入失信被执行人名单的供应商；不得为“中国政府采购网”（www.cc gp.gov.cn）政府采购严重违法失信行为记录名单中被财政部门禁止参加政府采购活动的供应商；</w:t>
      </w:r>
    </w:p>
    <w:p>
      <w:pPr>
        <w:pStyle w:val="null3"/>
      </w:pPr>
      <w:r>
        <w:rPr>
          <w:rFonts w:ascii="仿宋_GB2312" w:hAnsi="仿宋_GB2312" w:cs="仿宋_GB2312" w:eastAsia="仿宋_GB2312"/>
        </w:rPr>
        <w:t>8、控股管理关系：单位负责人为同一人或者存在直接控股、管理关系的不同供应商，不得同时参加同一合同项下的政府采购活动。</w:t>
      </w:r>
    </w:p>
    <w:p>
      <w:pPr>
        <w:pStyle w:val="null3"/>
      </w:pPr>
      <w:r>
        <w:rPr>
          <w:rFonts w:ascii="仿宋_GB2312" w:hAnsi="仿宋_GB2312" w:cs="仿宋_GB2312" w:eastAsia="仿宋_GB2312"/>
        </w:rPr>
        <w:t>9、法定代表人授权委托书：供应商应授权合法的人员参加投标全过程,其中法定代表人或其他组织负责人直接参加投标的 , 须出具法人身份证并与营业执照上信息一致或其他组织负责人身份证。授权代表参加投标的，须出具法定代表人或其他组织负责人授权书及授权代表身份证。</w:t>
      </w:r>
    </w:p>
    <w:p>
      <w:pPr>
        <w:pStyle w:val="null3"/>
      </w:pPr>
      <w:r>
        <w:rPr>
          <w:rFonts w:ascii="仿宋_GB2312" w:hAnsi="仿宋_GB2312" w:cs="仿宋_GB2312" w:eastAsia="仿宋_GB2312"/>
        </w:rPr>
        <w:t>10、不接受联合体磋商：提供非联合体声明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渭南市住房和城乡建设局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渭南市临渭区车雷大街69号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魏辛</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0913-2930538</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陕西侗伟项目管理有限公司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陕西省渭南市临渭区胜利大街与前进路十字西200米路南雅馨花园C座C08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714000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高宇姣</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13310933306</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渭南市财政局政府采购管理科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任丽珍</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0913-2100007</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开户名称：陕西侗伟项目管理有限公司</w:t>
            </w:r>
          </w:p>
          <w:p>
            <w:pPr>
              <w:pStyle w:val="null3"/>
            </w:pPr>
            <w:r>
              <w:rPr>
                <w:rFonts w:ascii="仿宋_GB2312" w:hAnsi="仿宋_GB2312" w:cs="仿宋_GB2312" w:eastAsia="仿宋_GB2312"/>
              </w:rPr>
              <w:t>开户银行：中国建设银行股份有限公司渭南前进路支行</w:t>
            </w:r>
          </w:p>
          <w:p>
            <w:pPr>
              <w:pStyle w:val="null3"/>
            </w:pPr>
            <w:r>
              <w:rPr>
                <w:rFonts w:ascii="仿宋_GB2312" w:hAnsi="仿宋_GB2312" w:cs="仿宋_GB2312" w:eastAsia="仿宋_GB2312"/>
              </w:rPr>
              <w:t>银行账号：6105 0164 1600 0000 1333</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根据《关于进一步放开建设项目专业服务价格的通知》（发改价格〔2015〕299号），参考《国家计委关于印发&lt;招标代理服务收费管理暂行办法&gt;的通知》（计价格)〔2002〕1980号文件规定的计费标准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渭南市住房和城乡建设局</w:t>
      </w:r>
      <w:r>
        <w:rPr>
          <w:rFonts w:ascii="仿宋_GB2312" w:hAnsi="仿宋_GB2312" w:cs="仿宋_GB2312" w:eastAsia="仿宋_GB2312"/>
        </w:rPr>
        <w:t>和</w:t>
      </w:r>
      <w:r>
        <w:rPr>
          <w:rFonts w:ascii="仿宋_GB2312" w:hAnsi="仿宋_GB2312" w:cs="仿宋_GB2312" w:eastAsia="仿宋_GB2312"/>
        </w:rPr>
        <w:t>陕西侗伟项目管理有限公司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渭南市住房和城乡建设局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陕西侗伟项目管理有限公司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渭南市住房和城乡建设局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陕西侗伟项目管理有限公司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陕西侗伟项目管理有限公司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联系人：高宇姣</w:t>
      </w:r>
    </w:p>
    <w:p>
      <w:pPr>
        <w:pStyle w:val="null3"/>
      </w:pPr>
      <w:r>
        <w:rPr>
          <w:rFonts w:ascii="仿宋_GB2312" w:hAnsi="仿宋_GB2312" w:cs="仿宋_GB2312" w:eastAsia="仿宋_GB2312"/>
        </w:rPr>
        <w:t>联系电话：13310933306</w:t>
      </w:r>
    </w:p>
    <w:p>
      <w:pPr>
        <w:pStyle w:val="null3"/>
      </w:pPr>
      <w:r>
        <w:rPr>
          <w:rFonts w:ascii="仿宋_GB2312" w:hAnsi="仿宋_GB2312" w:cs="仿宋_GB2312" w:eastAsia="仿宋_GB2312"/>
        </w:rPr>
        <w:t>地址：渭南市临渭区胜利大街与前进路十字西200米路南雅馨花园C座C08</w:t>
      </w:r>
    </w:p>
    <w:p>
      <w:pPr>
        <w:pStyle w:val="null3"/>
      </w:pPr>
      <w:r>
        <w:rPr>
          <w:rFonts w:ascii="仿宋_GB2312" w:hAnsi="仿宋_GB2312" w:cs="仿宋_GB2312" w:eastAsia="仿宋_GB2312"/>
        </w:rPr>
        <w:t>邮编：714000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按照陕西省发展和改革委员会、陕西省住房和城乡建设厅《关于抓紧编制城市基础设施更新改造重点领域实施方案的通知》要求，为进一步做好2025-2027年城市更新中央预算内投资项目谋划申报工作，编制《渭南市城市基础设施更新改造重点领域实施方案》。</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w:t>
      </w:r>
    </w:p>
    <w:p>
      <w:pPr>
        <w:pStyle w:val="null3"/>
      </w:pPr>
      <w:r>
        <w:rPr>
          <w:rFonts w:ascii="仿宋_GB2312" w:hAnsi="仿宋_GB2312" w:cs="仿宋_GB2312" w:eastAsia="仿宋_GB2312"/>
        </w:rPr>
        <w:t>采购包最高限价（元）: 350,000.00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渭南市城市基础设施更新改造重点领域实施方案</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标的名称：渭南市城市基础设施更新改造重点领域实施方案</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0"/>
                <w:b/>
              </w:rPr>
              <w:t>1.服务内容</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1）围绕渭南市城市基础设施更新改造内容开展设施普查，梳理2000年底以前建成老旧小区基础设施（道路交通、停车、给水、排水、电力、通信、供热等）运行情况及改造情况统计；</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2）梳理棚户区（城市危旧房）指2024年以前纳入国家计划的棚户区改造收尾项目以及经专业机构鉴定的国有土地C级、D级危旧住房改造数据及取得成效；</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3）对存在的问题及短板进行分析；</w:t>
            </w:r>
          </w:p>
          <w:p>
            <w:pPr>
              <w:pStyle w:val="null3"/>
              <w:jc w:val="both"/>
            </w:pPr>
            <w:r>
              <w:rPr>
                <w:rFonts w:ascii="仿宋_GB2312" w:hAnsi="仿宋_GB2312" w:cs="仿宋_GB2312" w:eastAsia="仿宋_GB2312"/>
                <w:sz w:val="20"/>
              </w:rPr>
              <w:t>（</w:t>
            </w:r>
            <w:r>
              <w:rPr>
                <w:rFonts w:ascii="仿宋_GB2312" w:hAnsi="仿宋_GB2312" w:cs="仿宋_GB2312" w:eastAsia="仿宋_GB2312"/>
                <w:sz w:val="20"/>
              </w:rPr>
              <w:t>4）编制年度改造计划及实施方案。</w:t>
            </w:r>
          </w:p>
          <w:p>
            <w:pPr>
              <w:pStyle w:val="null3"/>
              <w:jc w:val="both"/>
            </w:pPr>
            <w:r>
              <w:rPr>
                <w:rFonts w:ascii="仿宋_GB2312" w:hAnsi="仿宋_GB2312" w:cs="仿宋_GB2312" w:eastAsia="仿宋_GB2312"/>
                <w:sz w:val="20"/>
                <w:b/>
              </w:rPr>
              <w:t>2.服务范围</w:t>
            </w:r>
          </w:p>
          <w:p>
            <w:pPr>
              <w:pStyle w:val="null3"/>
              <w:jc w:val="both"/>
            </w:pPr>
            <w:r>
              <w:rPr>
                <w:rFonts w:ascii="仿宋_GB2312" w:hAnsi="仿宋_GB2312" w:cs="仿宋_GB2312" w:eastAsia="仿宋_GB2312"/>
                <w:sz w:val="20"/>
              </w:rPr>
              <w:t>渭南市主城区及各县（市、区）建成区。</w:t>
            </w:r>
          </w:p>
          <w:p>
            <w:pPr>
              <w:pStyle w:val="null3"/>
              <w:jc w:val="both"/>
            </w:pPr>
            <w:r>
              <w:rPr>
                <w:rFonts w:ascii="仿宋_GB2312" w:hAnsi="仿宋_GB2312" w:cs="仿宋_GB2312" w:eastAsia="仿宋_GB2312"/>
                <w:sz w:val="20"/>
                <w:b/>
              </w:rPr>
              <w:t>3.服务期限</w:t>
            </w:r>
          </w:p>
          <w:p>
            <w:pPr>
              <w:pStyle w:val="null3"/>
              <w:jc w:val="both"/>
            </w:pPr>
            <w:r>
              <w:rPr>
                <w:rFonts w:ascii="仿宋_GB2312" w:hAnsi="仿宋_GB2312" w:cs="仿宋_GB2312" w:eastAsia="仿宋_GB2312"/>
                <w:sz w:val="20"/>
              </w:rPr>
              <w:t>自合同签订之日起</w:t>
            </w:r>
            <w:r>
              <w:rPr>
                <w:rFonts w:ascii="仿宋_GB2312" w:hAnsi="仿宋_GB2312" w:cs="仿宋_GB2312" w:eastAsia="仿宋_GB2312"/>
                <w:sz w:val="20"/>
              </w:rPr>
              <w:t>30天</w:t>
            </w:r>
          </w:p>
          <w:p>
            <w:pPr>
              <w:pStyle w:val="null3"/>
              <w:jc w:val="both"/>
            </w:pPr>
            <w:r>
              <w:rPr>
                <w:rFonts w:ascii="仿宋_GB2312" w:hAnsi="仿宋_GB2312" w:cs="仿宋_GB2312" w:eastAsia="仿宋_GB2312"/>
                <w:sz w:val="20"/>
                <w:b/>
              </w:rPr>
              <w:t>4.成果资料</w:t>
            </w:r>
          </w:p>
          <w:p>
            <w:pPr>
              <w:pStyle w:val="null3"/>
              <w:jc w:val="both"/>
            </w:pPr>
            <w:r>
              <w:rPr>
                <w:rFonts w:ascii="仿宋_GB2312" w:hAnsi="仿宋_GB2312" w:cs="仿宋_GB2312" w:eastAsia="仿宋_GB2312"/>
                <w:sz w:val="20"/>
              </w:rPr>
              <w:t>电子成果资料</w:t>
            </w:r>
            <w:r>
              <w:rPr>
                <w:rFonts w:ascii="仿宋_GB2312" w:hAnsi="仿宋_GB2312" w:cs="仿宋_GB2312" w:eastAsia="仿宋_GB2312"/>
                <w:sz w:val="20"/>
              </w:rPr>
              <w:t>1套，纸质成果资料3套。</w:t>
            </w:r>
          </w:p>
          <w:p>
            <w:pPr>
              <w:pStyle w:val="null3"/>
              <w:jc w:val="both"/>
            </w:pPr>
            <w:r>
              <w:rPr>
                <w:rFonts w:ascii="仿宋_GB2312" w:hAnsi="仿宋_GB2312" w:cs="仿宋_GB2312" w:eastAsia="仿宋_GB2312"/>
                <w:sz w:val="20"/>
                <w:b/>
              </w:rPr>
              <w:t>5.验收标准</w:t>
            </w:r>
          </w:p>
          <w:p>
            <w:pPr>
              <w:pStyle w:val="null3"/>
            </w:pPr>
            <w:r>
              <w:rPr>
                <w:rFonts w:ascii="仿宋_GB2312" w:hAnsi="仿宋_GB2312" w:cs="仿宋_GB2312" w:eastAsia="仿宋_GB2312"/>
                <w:sz w:val="20"/>
              </w:rPr>
              <w:t>编制《渭南市城市基础设施更新改造重点领域实施方案》文本，包含</w:t>
            </w:r>
            <w:r>
              <w:rPr>
                <w:rFonts w:ascii="仿宋_GB2312" w:hAnsi="仿宋_GB2312" w:cs="仿宋_GB2312" w:eastAsia="仿宋_GB2312"/>
                <w:sz w:val="20"/>
              </w:rPr>
              <w:t>2025-2027年渭南市城市基础设施更新改造项目表，需满足现行法律法规要求。</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满足本项目服务需求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自合同签订之日起30天</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渭南市主城区及各县（市、区）建成区</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编制《渭南市城市基础设施更新改造重点领域实施方案》文本，包含2025-2027年渭南市城市基础设施更新改造项目表，需满足现行法律法规要求。</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合同签订后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实施方案成果提交后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 xml:space="preserve">待实施方案期满 </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详见采购合同。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3.4.1投标保证金注意事项：（1）以转账、支票、汇票等方式递交投标保证金的，须从供应商基本账户转出。（2）以保函形式交纳投标保证金的，供应商应在响应截止时间前持保函扫描件发送至代理机构邮箱（sxtwgs@163.com）；供应商应在投标文件中附保函扫描件。 3.4.2、成交结果公示发布后，2个工作日内成交供应商需提供纸质版投标文件两份、电子版（PDF格式）一份（经编标工具生成的投标文件进行下载、打印），提供的纸质版文件内容确保与线上电子投标文件保持一致，不允许修改和补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 资格证明文件.pdf</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营业执照等证明文件</w:t>
            </w:r>
          </w:p>
        </w:tc>
        <w:tc>
          <w:tcPr>
            <w:tcW w:type="dxa" w:w="3322"/>
          </w:tcPr>
          <w:p>
            <w:pPr>
              <w:pStyle w:val="null3"/>
            </w:pPr>
            <w:r>
              <w:rPr>
                <w:rFonts w:ascii="仿宋_GB2312" w:hAnsi="仿宋_GB2312" w:cs="仿宋_GB2312" w:eastAsia="仿宋_GB2312"/>
              </w:rPr>
              <w:t>营业执照等证明文件合法有效，具有独立承担民事责任的能力且具备向采购人提供相关服务的企业法人、其他组织或自然人，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的2024年度财务审计报告（若成立时间至磋商文件递交截止时间前不足一年的可提供成立后任意时段的资产负债表）或磋商文件递交截止时间前六个月内其基本账户银行出具的资信证明（附基本账户证明）或政府采购信用担保机构出具的投标担保函；</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社保缴纳证明</w:t>
            </w:r>
          </w:p>
        </w:tc>
        <w:tc>
          <w:tcPr>
            <w:tcW w:type="dxa" w:w="3322"/>
          </w:tcPr>
          <w:p>
            <w:pPr>
              <w:pStyle w:val="null3"/>
            </w:pPr>
            <w:r>
              <w:rPr>
                <w:rFonts w:ascii="仿宋_GB2312" w:hAnsi="仿宋_GB2312" w:cs="仿宋_GB2312" w:eastAsia="仿宋_GB2312"/>
              </w:rPr>
              <w:t>提供递交磋商文件截止之日前一年内任意一个月的社会保障资金缴存单据或社保机构开具的社会保险参保缴费情况证明；依法不需要缴纳社会保障资金的供应商应提供相关证明文件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递交磋商文件截止之日前一年内任意一个月的依法缴纳税收的相关凭据（时间以税款所属日期为准、增值税、企业所得税至少提供一种），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提供具有履行本合同所必需的设备和专业技术能力的说明及承诺；</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无重大违法、违纪书面声明</w:t>
            </w:r>
          </w:p>
        </w:tc>
        <w:tc>
          <w:tcPr>
            <w:tcW w:type="dxa" w:w="3322"/>
          </w:tcPr>
          <w:p>
            <w:pPr>
              <w:pStyle w:val="null3"/>
            </w:pPr>
            <w:r>
              <w:rPr>
                <w:rFonts w:ascii="仿宋_GB2312" w:hAnsi="仿宋_GB2312" w:cs="仿宋_GB2312" w:eastAsia="仿宋_GB2312"/>
              </w:rPr>
              <w:t>参加政府采购活动前三年内在经营活动中无重大违法记录的书面声明；</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供应商不得为“信用中国”网站（www.creditchi na.gov.cn）中列入重大税收违法失信主体的供应商；不得为“中国执行信息公开网”（https://zxgk.court.gov.cn）中列入失信被执行人名单的供应商；不得为“中国政府采购网”（www.cc gp.gov.cn）政府采购严重违法失信行为记录名单中被财政部门禁止参加政府采购活动的供应商；</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单位负责人为同一人或者存在直接控股、管理关系的不同供应商，不得同时参加同一合同项下的政府采购活动。</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法定代表人授权委托书</w:t>
            </w:r>
          </w:p>
        </w:tc>
        <w:tc>
          <w:tcPr>
            <w:tcW w:type="dxa" w:w="3322"/>
          </w:tcPr>
          <w:p>
            <w:pPr>
              <w:pStyle w:val="null3"/>
            </w:pPr>
            <w:r>
              <w:rPr>
                <w:rFonts w:ascii="仿宋_GB2312" w:hAnsi="仿宋_GB2312" w:cs="仿宋_GB2312" w:eastAsia="仿宋_GB2312"/>
              </w:rPr>
              <w:t>供应商应授权合法的人员参加投标全过程,其中法定代表人或其他组织负责人直接参加投标的 , 须出具法人身份证并与营业执照上信息一致或其他组织负责人身份证。授权代表参加投标的，须出具法定代表人或其他组织负责人授权书及授权代表身份证。</w:t>
            </w:r>
          </w:p>
        </w:tc>
        <w:tc>
          <w:tcPr>
            <w:tcW w:type="dxa" w:w="1661"/>
          </w:tcPr>
          <w:p>
            <w:pPr>
              <w:pStyle w:val="null3"/>
            </w:pPr>
            <w:r>
              <w:rPr>
                <w:rFonts w:ascii="仿宋_GB2312" w:hAnsi="仿宋_GB2312" w:cs="仿宋_GB2312" w:eastAsia="仿宋_GB2312"/>
              </w:rPr>
              <w:t>资格证明文件.pdf</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不接受联合体磋商</w:t>
            </w:r>
          </w:p>
        </w:tc>
        <w:tc>
          <w:tcPr>
            <w:tcW w:type="dxa" w:w="3322"/>
          </w:tcPr>
          <w:p>
            <w:pPr>
              <w:pStyle w:val="null3"/>
            </w:pPr>
            <w:r>
              <w:rPr>
                <w:rFonts w:ascii="仿宋_GB2312" w:hAnsi="仿宋_GB2312" w:cs="仿宋_GB2312" w:eastAsia="仿宋_GB2312"/>
              </w:rPr>
              <w:t>提供非联合体声明</w:t>
            </w:r>
          </w:p>
        </w:tc>
        <w:tc>
          <w:tcPr>
            <w:tcW w:type="dxa" w:w="1661"/>
          </w:tcPr>
          <w:p>
            <w:pPr>
              <w:pStyle w:val="null3"/>
            </w:pPr>
            <w:r>
              <w:rPr>
                <w:rFonts w:ascii="仿宋_GB2312" w:hAnsi="仿宋_GB2312" w:cs="仿宋_GB2312" w:eastAsia="仿宋_GB2312"/>
              </w:rPr>
              <w:t>资格证明文件.pdf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政府采购供应商拒绝政府采购领域商业贿赂承诺书.pdf 标的清单 报价表 供应商认为需要提供的其他资料.pdf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与营业执照或其他主体证明资料一致</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响应文件按照磋商文件要求进行签署、盖章</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响应报价</w:t>
            </w:r>
          </w:p>
        </w:tc>
        <w:tc>
          <w:tcPr>
            <w:tcW w:type="dxa" w:w="3322"/>
          </w:tcPr>
          <w:p>
            <w:pPr>
              <w:pStyle w:val="null3"/>
            </w:pPr>
            <w:r>
              <w:rPr>
                <w:rFonts w:ascii="仿宋_GB2312" w:hAnsi="仿宋_GB2312" w:cs="仿宋_GB2312" w:eastAsia="仿宋_GB2312"/>
              </w:rPr>
              <w:t>只能有一个有效报价，不得提交选择性报价， 且报价不超过采购预算金额或最高限价</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响应有效期</w:t>
            </w:r>
          </w:p>
        </w:tc>
        <w:tc>
          <w:tcPr>
            <w:tcW w:type="dxa" w:w="3322"/>
          </w:tcPr>
          <w:p>
            <w:pPr>
              <w:pStyle w:val="null3"/>
            </w:pPr>
            <w:r>
              <w:rPr>
                <w:rFonts w:ascii="仿宋_GB2312" w:hAnsi="仿宋_GB2312" w:cs="仿宋_GB2312" w:eastAsia="仿宋_GB2312"/>
              </w:rPr>
              <w:t>提交响应文件的截止之日起不少于90天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自合同签订之日起30天</w:t>
            </w:r>
          </w:p>
        </w:tc>
        <w:tc>
          <w:tcPr>
            <w:tcW w:type="dxa" w:w="1661"/>
          </w:tcPr>
          <w:p>
            <w:pPr>
              <w:pStyle w:val="null3"/>
            </w:pPr>
            <w:r>
              <w:rPr>
                <w:rFonts w:ascii="仿宋_GB2312" w:hAnsi="仿宋_GB2312" w:cs="仿宋_GB2312" w:eastAsia="仿宋_GB2312"/>
              </w:rPr>
              <w:t>服务内容及服务要求应答表.pdf</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磋商保证金</w:t>
            </w:r>
          </w:p>
        </w:tc>
        <w:tc>
          <w:tcPr>
            <w:tcW w:type="dxa" w:w="3322"/>
          </w:tcPr>
          <w:p>
            <w:pPr>
              <w:pStyle w:val="null3"/>
            </w:pPr>
            <w:r>
              <w:rPr>
                <w:rFonts w:ascii="仿宋_GB2312" w:hAnsi="仿宋_GB2312" w:cs="仿宋_GB2312" w:eastAsia="仿宋_GB2312"/>
              </w:rPr>
              <w:t>满足磋商文件要求</w:t>
            </w:r>
          </w:p>
        </w:tc>
        <w:tc>
          <w:tcPr>
            <w:tcW w:type="dxa" w:w="1661"/>
          </w:tcPr>
          <w:p>
            <w:pPr>
              <w:pStyle w:val="null3"/>
            </w:pPr>
            <w:r>
              <w:rPr>
                <w:rFonts w:ascii="仿宋_GB2312" w:hAnsi="仿宋_GB2312" w:cs="仿宋_GB2312" w:eastAsia="仿宋_GB2312"/>
              </w:rPr>
              <w:t>磋商保证金.pdf</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对技术和商务要求响应</w:t>
            </w:r>
          </w:p>
        </w:tc>
        <w:tc>
          <w:tcPr>
            <w:tcW w:type="dxa" w:w="3322"/>
          </w:tcPr>
          <w:p>
            <w:pPr>
              <w:pStyle w:val="null3"/>
            </w:pPr>
            <w:r>
              <w:rPr>
                <w:rFonts w:ascii="仿宋_GB2312" w:hAnsi="仿宋_GB2312" w:cs="仿宋_GB2312" w:eastAsia="仿宋_GB2312"/>
              </w:rPr>
              <w:t>完全理解并接受磋商文件的约束</w:t>
            </w:r>
          </w:p>
        </w:tc>
        <w:tc>
          <w:tcPr>
            <w:tcW w:type="dxa" w:w="1661"/>
          </w:tcPr>
          <w:p>
            <w:pPr>
              <w:pStyle w:val="null3"/>
            </w:pPr>
            <w:r>
              <w:rPr>
                <w:rFonts w:ascii="仿宋_GB2312" w:hAnsi="仿宋_GB2312" w:cs="仿宋_GB2312" w:eastAsia="仿宋_GB2312"/>
              </w:rPr>
              <w:t>商务应答表 服务内容及服务要求应答表.pdf</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项目的理解及认识</w:t>
            </w:r>
          </w:p>
        </w:tc>
        <w:tc>
          <w:tcPr>
            <w:tcW w:type="dxa" w:w="2492"/>
          </w:tcPr>
          <w:p>
            <w:pPr>
              <w:pStyle w:val="null3"/>
            </w:pPr>
            <w:r>
              <w:rPr>
                <w:rFonts w:ascii="仿宋_GB2312" w:hAnsi="仿宋_GB2312" w:cs="仿宋_GB2312" w:eastAsia="仿宋_GB2312"/>
              </w:rPr>
              <w:t>一、评审内容：对项目的理解及认识、重点、难点的分析包括但不限于：①项目的背景；②内容及理解；③总体工作目标；④项目任务。⑤项目重难点分析 二、评审标准：各个部分内容全面、合理、逻辑清晰、阐述条理清晰且描述详细符合本项目采购需求有针对性，以上5项，以序号①、②、③、④、⑤为项数，内容无缺项、无漏项且无缺陷的得20分，其中每有一项内容存在缺项或漏项的扣4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项目的理解及认识.pdf</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一、评审内容：提供基于项目总体分析的总体技术方案，包括但不限于：①项目需求分析；②项目内容；③项目背景分析；④工作开展技术方案。 二、评审标准：提供详细、合理、科学可行的方案，方案符合本项目采购需求有针对性，以上4项，以序号①、②、③、④为项数，内容无缺项、无漏项且无缺陷的得12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服务方案.pdf</w:t>
            </w:r>
          </w:p>
        </w:tc>
      </w:tr>
      <w:tr>
        <w:tc>
          <w:tcPr>
            <w:tcW w:type="dxa" w:w="831"/>
            <w:vMerge/>
          </w:tcPr>
          <w:p/>
        </w:tc>
        <w:tc>
          <w:tcPr>
            <w:tcW w:type="dxa" w:w="1661"/>
          </w:tcPr>
          <w:p>
            <w:pPr>
              <w:pStyle w:val="null3"/>
            </w:pPr>
            <w:r>
              <w:rPr>
                <w:rFonts w:ascii="仿宋_GB2312" w:hAnsi="仿宋_GB2312" w:cs="仿宋_GB2312" w:eastAsia="仿宋_GB2312"/>
              </w:rPr>
              <w:t>实施进度保证措施</w:t>
            </w:r>
          </w:p>
        </w:tc>
        <w:tc>
          <w:tcPr>
            <w:tcW w:type="dxa" w:w="2492"/>
          </w:tcPr>
          <w:p>
            <w:pPr>
              <w:pStyle w:val="null3"/>
            </w:pPr>
            <w:r>
              <w:rPr>
                <w:rFonts w:ascii="仿宋_GB2312" w:hAnsi="仿宋_GB2312" w:cs="仿宋_GB2312" w:eastAsia="仿宋_GB2312"/>
              </w:rPr>
              <w:t>一、评审内容：针对本项目实施进度保证措施，包括但不限于：①项目实施进度目标分析；②项目进度保障措施；③突发情况的应急方案等。 二、评审标准：提供详细、合理、科学可行的方案，方案符合本项目采购需求有针对性，以上3项，以序号①、②、③为项数，内容无缺项、无漏项且无缺陷的得9分，其中每有一项内容存在缺项或漏项的扣3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实施进度保证措施.pdf</w:t>
            </w:r>
          </w:p>
        </w:tc>
      </w:tr>
      <w:tr>
        <w:tc>
          <w:tcPr>
            <w:tcW w:type="dxa" w:w="831"/>
            <w:vMerge/>
          </w:tcPr>
          <w:p/>
        </w:tc>
        <w:tc>
          <w:tcPr>
            <w:tcW w:type="dxa" w:w="1661"/>
          </w:tcPr>
          <w:p>
            <w:pPr>
              <w:pStyle w:val="null3"/>
            </w:pPr>
            <w:r>
              <w:rPr>
                <w:rFonts w:ascii="仿宋_GB2312" w:hAnsi="仿宋_GB2312" w:cs="仿宋_GB2312" w:eastAsia="仿宋_GB2312"/>
              </w:rPr>
              <w:t>质量保证措施</w:t>
            </w:r>
          </w:p>
        </w:tc>
        <w:tc>
          <w:tcPr>
            <w:tcW w:type="dxa" w:w="2492"/>
          </w:tcPr>
          <w:p>
            <w:pPr>
              <w:pStyle w:val="null3"/>
            </w:pPr>
            <w:r>
              <w:rPr>
                <w:rFonts w:ascii="仿宋_GB2312" w:hAnsi="仿宋_GB2312" w:cs="仿宋_GB2312" w:eastAsia="仿宋_GB2312"/>
              </w:rPr>
              <w:t>一、评审内容：①质量保证体系及质量目标；②质量过程控制；③质量保证措施；④保密安全制度 二、评审标准：提供详细、合理、科学可行的方案，方案符合本项目采购需求有针对性，以上4项，以序号①、②、③、④为项数，内容无缺项、无漏项且无缺陷的得16分，其中每有一项内容存在缺项或漏项的扣4分，每项内容中每有一处存在缺陷的扣0.5分，该项分值扣完为止，未提供不得分。 三、赋分说明：“缺陷”是指套用其他项目方案内容；存在不适用项目实际情况的情形；引用的行业技术规范与标准或其他规范性文件错误；未能体现出本项目的特点或与本项目实际需求不完全相符，针对性不强；涉及内容无重点或内容不够详细以及其他情形。</w:t>
            </w:r>
          </w:p>
        </w:tc>
        <w:tc>
          <w:tcPr>
            <w:tcW w:type="dxa" w:w="831"/>
          </w:tcPr>
          <w:p>
            <w:pPr>
              <w:pStyle w:val="null3"/>
              <w:jc w:val="right"/>
            </w:pPr>
            <w:r>
              <w:rPr>
                <w:rFonts w:ascii="仿宋_GB2312" w:hAnsi="仿宋_GB2312" w:cs="仿宋_GB2312" w:eastAsia="仿宋_GB2312"/>
              </w:rPr>
              <w:t>16.0000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质量保证措施.pdf</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针对本项目需求，制定详细可行的合理化建议，每提出一项得2分，最高得4分，未提供不得分。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合理化建议.pdf</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1、拟派项目负责人具备相关专业高级职称得5分，中级职称的得2分； 2、项目组其他人员分工明确、责任明确，结构合理，具有相关专业中级及以上职称的得1分，最高得4分。 注：提供人员证明材料复印件及社保证明材料，加盖单位鲜章，否则不得分。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人员配备.pdf</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供应商提供近2023年1月至今类似项目业绩，每项业绩得5分，最高得10分。 注：业绩须提供合同复印件加盖供应商公章，时间以合同签订时间为准。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业绩表.pdf</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价格分统一采用低价优先法计算，即满足磋商文件要求且磋商价格最低的磋商报价为投标基准价，其价格分为满分。其他供应商的价格分统一按照下列公式计算： 磋商报价得分=(投标基准价／最终报价)×20 计算分数时四舍五入取小数点后两位 注：本项目专门面向中小企业，故不再进行价格分扣除。</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详见附件：磋商保证金.pdf</w:t>
      </w:r>
    </w:p>
    <w:p>
      <w:pPr>
        <w:pStyle w:val="null3"/>
        <w:ind w:firstLine="960"/>
      </w:pPr>
      <w:r>
        <w:rPr>
          <w:rFonts w:ascii="仿宋_GB2312" w:hAnsi="仿宋_GB2312" w:cs="仿宋_GB2312" w:eastAsia="仿宋_GB2312"/>
        </w:rPr>
        <w:t>详见附件：服务方案.pdf</w:t>
      </w:r>
    </w:p>
    <w:p>
      <w:pPr>
        <w:pStyle w:val="null3"/>
        <w:ind w:firstLine="960"/>
      </w:pPr>
      <w:r>
        <w:rPr>
          <w:rFonts w:ascii="仿宋_GB2312" w:hAnsi="仿宋_GB2312" w:cs="仿宋_GB2312" w:eastAsia="仿宋_GB2312"/>
        </w:rPr>
        <w:t>详见附件：供应商认为需要提供的其他资料.pdf</w:t>
      </w:r>
    </w:p>
    <w:p>
      <w:pPr>
        <w:pStyle w:val="null3"/>
        <w:ind w:firstLine="960"/>
      </w:pPr>
      <w:r>
        <w:rPr>
          <w:rFonts w:ascii="仿宋_GB2312" w:hAnsi="仿宋_GB2312" w:cs="仿宋_GB2312" w:eastAsia="仿宋_GB2312"/>
        </w:rPr>
        <w:t>详见附件：合理化建议.pdf</w:t>
      </w:r>
    </w:p>
    <w:p>
      <w:pPr>
        <w:pStyle w:val="null3"/>
        <w:ind w:firstLine="960"/>
      </w:pPr>
      <w:r>
        <w:rPr>
          <w:rFonts w:ascii="仿宋_GB2312" w:hAnsi="仿宋_GB2312" w:cs="仿宋_GB2312" w:eastAsia="仿宋_GB2312"/>
        </w:rPr>
        <w:t>详见附件：人员配备.pdf</w:t>
      </w:r>
    </w:p>
    <w:p>
      <w:pPr>
        <w:pStyle w:val="null3"/>
        <w:ind w:firstLine="960"/>
      </w:pPr>
      <w:r>
        <w:rPr>
          <w:rFonts w:ascii="仿宋_GB2312" w:hAnsi="仿宋_GB2312" w:cs="仿宋_GB2312" w:eastAsia="仿宋_GB2312"/>
        </w:rPr>
        <w:t>详见附件：资格证明文件.pdf</w:t>
      </w:r>
    </w:p>
    <w:p>
      <w:pPr>
        <w:pStyle w:val="null3"/>
        <w:ind w:firstLine="960"/>
      </w:pPr>
      <w:r>
        <w:rPr>
          <w:rFonts w:ascii="仿宋_GB2312" w:hAnsi="仿宋_GB2312" w:cs="仿宋_GB2312" w:eastAsia="仿宋_GB2312"/>
        </w:rPr>
        <w:t>详见附件：质量保证措施.pdf</w:t>
      </w:r>
    </w:p>
    <w:p>
      <w:pPr>
        <w:pStyle w:val="null3"/>
        <w:ind w:firstLine="960"/>
      </w:pPr>
      <w:r>
        <w:rPr>
          <w:rFonts w:ascii="仿宋_GB2312" w:hAnsi="仿宋_GB2312" w:cs="仿宋_GB2312" w:eastAsia="仿宋_GB2312"/>
        </w:rPr>
        <w:t>详见附件：政府采购供应商拒绝政府采购领域商业贿赂承诺书.pdf</w:t>
      </w:r>
    </w:p>
    <w:p>
      <w:pPr>
        <w:pStyle w:val="null3"/>
        <w:ind w:firstLine="960"/>
      </w:pPr>
      <w:r>
        <w:rPr>
          <w:rFonts w:ascii="仿宋_GB2312" w:hAnsi="仿宋_GB2312" w:cs="仿宋_GB2312" w:eastAsia="仿宋_GB2312"/>
        </w:rPr>
        <w:t>详见附件：业绩表.pdf</w:t>
      </w:r>
    </w:p>
    <w:p>
      <w:pPr>
        <w:pStyle w:val="null3"/>
        <w:ind w:firstLine="960"/>
      </w:pPr>
      <w:r>
        <w:rPr>
          <w:rFonts w:ascii="仿宋_GB2312" w:hAnsi="仿宋_GB2312" w:cs="仿宋_GB2312" w:eastAsia="仿宋_GB2312"/>
        </w:rPr>
        <w:t>详见附件：项目的理解及认识.pdf</w:t>
      </w:r>
    </w:p>
    <w:p>
      <w:pPr>
        <w:pStyle w:val="null3"/>
        <w:ind w:firstLine="960"/>
      </w:pPr>
      <w:r>
        <w:rPr>
          <w:rFonts w:ascii="仿宋_GB2312" w:hAnsi="仿宋_GB2312" w:cs="仿宋_GB2312" w:eastAsia="仿宋_GB2312"/>
        </w:rPr>
        <w:t>详见附件：实施进度保证措施.pdf</w:t>
      </w:r>
    </w:p>
    <w:p>
      <w:pPr>
        <w:pStyle w:val="null3"/>
        <w:ind w:firstLine="960"/>
      </w:pPr>
      <w:r>
        <w:rPr>
          <w:rFonts w:ascii="仿宋_GB2312" w:hAnsi="仿宋_GB2312" w:cs="仿宋_GB2312" w:eastAsia="仿宋_GB2312"/>
        </w:rPr>
        <w:t>详见附件：服务内容及服务要求应答表.pdf</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详见附件：合同协议书docx.docx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