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版本号：ZCSP-渭南市-2026-00009、XHLJZC-WN2026-00120260127001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在西潼高速服务区两侧入口处龙门架进行广告宣传投放项目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ZCSP-渭南市-2026-00009、XHLJZC-WN2026-001</w:t>
      </w:r>
      <w:r>
        <w:br/>
      </w:r>
      <w:r>
        <w:br/>
      </w:r>
      <w:r>
        <w:br/>
      </w:r>
    </w:p>
    <w:p>
      <w:pPr>
        <w:pStyle w:val="null3"/>
        <w:jc w:val="center"/>
        <w:outlineLvl w:val="5"/>
      </w:pPr>
      <w:r>
        <w:rPr>
          <w:rFonts w:ascii="仿宋_GB2312" w:hAnsi="仿宋_GB2312" w:cs="仿宋_GB2312" w:eastAsia="仿宋_GB2312"/>
          <w:sz w:val="15"/>
          <w:b/>
        </w:rPr>
        <w:t>渭南市博物馆</w:t>
      </w:r>
    </w:p>
    <w:p>
      <w:pPr>
        <w:pStyle w:val="null3"/>
        <w:jc w:val="center"/>
        <w:outlineLvl w:val="5"/>
      </w:pPr>
      <w:r>
        <w:rPr>
          <w:rFonts w:ascii="仿宋_GB2312" w:hAnsi="仿宋_GB2312" w:cs="仿宋_GB2312" w:eastAsia="仿宋_GB2312"/>
          <w:sz w:val="15"/>
          <w:b/>
        </w:rPr>
        <w:t>西安欣华联建工程咨询有限公司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渭南市博物馆</w:t>
      </w:r>
      <w:r>
        <w:rPr>
          <w:rFonts w:ascii="仿宋_GB2312" w:hAnsi="仿宋_GB2312" w:cs="仿宋_GB2312" w:eastAsia="仿宋_GB2312"/>
        </w:rPr>
        <w:t>委托，拟对</w:t>
      </w:r>
      <w:r>
        <w:rPr>
          <w:rFonts w:ascii="仿宋_GB2312" w:hAnsi="仿宋_GB2312" w:cs="仿宋_GB2312" w:eastAsia="仿宋_GB2312"/>
        </w:rPr>
        <w:t>在西潼高速服务区两侧入口处龙门架进行广告宣传投放项目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ZCSP-渭南市-2026-00009、XHLJZC-WN2026-001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在西潼高速服务区两侧入口处龙门架进行广告宣传投放项目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在西潼高速服务区两侧入口处龙门架进行广告宣传投放项目，详见采购文件。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采购包1（渭南市博物馆在西潼高速服务区两侧入口处龙门架进行广告宣传投放项目）：属于专门面向中小企业采购。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2025年1月以来任意3个月依法缴纳税收和社会保险的相关证明材料；注：依法免税或不需要缴纳社会保险的供应商提供相关部门出具的证明文件。（以税款所属时期为准）；</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渭南市乐天大街西段南侧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刘部长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0913-2559964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国家发展改革委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渭南市博物馆</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在西潼高速服务区两侧入口处龙门架进行广告宣传投放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广告宣传投放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标的名称：广告宣传投放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1"/>
              </w:rPr>
              <w:t>西潼高速渭南西服务区南北双向入口龙门架广告宣传</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渭南市博物馆指定地点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提交广告设计方案并经采购人审核，广告开始投放后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甲方的违约责任 1、甲方逾期付款，应就逾期部分向乙方支付按照中国人民银行规定的同期贷款基准利率计算的逾期付款违约金。 2、甲方违反合同规定拒绝接收服务的，应当承担由此对乙方造成的损失。 乙方的违约责任 1、乙方不能按期完成服务的，每逾期1日，乙方应向甲方赔付合同总价的0.1%作为违约金 2、乙方所交付的不符合国家法律法规和合同规定的，甲方有权拒收，并由乙方承担一切费用。 3、甲方提供的广告设计资料，如因乙方造成信息泄露的，甲方有权按照相关规定追究乙方责任。 争议解决 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提供2025年1月以来任意3个月依法缴纳税收和社会保险的相关证明材料；注：依法免税或不需要缴纳社会保险的供应商提供相关部门出具的证明文件。（以税款所属时期为准）；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投标文件签章（实质性要求）</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投标方案 中小企业声明函 技术要求响应表 报价表 商务要求响应表 响应文件封面 政府采购供应商拒绝政府采购领域商业贿赂承诺书 残疾人福利性单位声明函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（1）符合单一来源采购文件规定的实质性要求（2）投标有效期符合单一来源采购文件的要求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（1）符合商务、技术要求，不存在重大负偏离（2）未附有采购人不能接受的条件（3）未违反《中华人民共和国政府采购法》和其他相关法律、法规的规定</w:t>
            </w:r>
          </w:p>
        </w:tc>
        <w:tc>
          <w:tcPr>
            <w:tcW w:type="dxa" w:w="1661"/>
          </w:tcPr>
          <w:p>
            <w:pPr>
              <w:pStyle w:val="null3"/>
            </w:pPr>
            <w:r>
              <w:rPr>
                <w:rFonts w:ascii="仿宋_GB2312" w:hAnsi="仿宋_GB2312" w:cs="仿宋_GB2312" w:eastAsia="仿宋_GB2312"/>
              </w:rPr>
              <w:t>投标方案 技术要求响应表 商务要求响应表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